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13B65" w14:textId="77777777" w:rsidR="00E740EA" w:rsidRPr="000A6633" w:rsidRDefault="005F68BC" w:rsidP="00353377">
      <w:pPr>
        <w:pStyle w:val="Default"/>
        <w:rPr>
          <w:rFonts w:ascii="Calibri" w:hAnsi="Calibri" w:cs="Calibri"/>
          <w:noProof/>
          <w:lang w:val="en-CA" w:eastAsia="en-CA"/>
        </w:rPr>
      </w:pPr>
      <w:r w:rsidRPr="000A6633">
        <w:rPr>
          <w:rFonts w:ascii="Calibri" w:hAnsi="Calibri" w:cs="Calibri"/>
          <w:noProof/>
          <w:lang w:val="en-CA" w:eastAsia="en-CA"/>
        </w:rPr>
        <w:drawing>
          <wp:inline distT="0" distB="0" distL="0" distR="0" wp14:anchorId="1B80527E" wp14:editId="24E96399">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14B0580D" w14:textId="0309419B" w:rsidR="00353377" w:rsidRPr="003F0E2E" w:rsidRDefault="002A23FF" w:rsidP="003F0E2E">
      <w:pPr>
        <w:pStyle w:val="Heading1"/>
      </w:pPr>
      <w:bookmarkStart w:id="0" w:name="_Toc12350797"/>
      <w:bookmarkStart w:id="1" w:name="_Toc12437018"/>
      <w:bookmarkStart w:id="2" w:name="_Toc12437231"/>
      <w:bookmarkStart w:id="3" w:name="_Toc12438427"/>
      <w:bookmarkStart w:id="4" w:name="_Toc12606603"/>
      <w:r w:rsidRPr="002A23FF">
        <w:t>Changing Social Service Organizations: Implications for Workers and Service Users</w:t>
      </w:r>
      <w:bookmarkEnd w:id="0"/>
      <w:bookmarkEnd w:id="1"/>
      <w:bookmarkEnd w:id="2"/>
      <w:bookmarkEnd w:id="3"/>
      <w:bookmarkEnd w:id="4"/>
    </w:p>
    <w:p w14:paraId="36B0D715" w14:textId="4B59E60D" w:rsidR="00E740EA" w:rsidRPr="002958FE" w:rsidRDefault="00D434D6">
      <w:pPr>
        <w:pStyle w:val="ListParagraph"/>
        <w:numPr>
          <w:ilvl w:val="0"/>
          <w:numId w:val="3"/>
        </w:numPr>
        <w:rPr>
          <w:rFonts w:cs="Arial"/>
          <w:b/>
          <w:szCs w:val="24"/>
        </w:rPr>
      </w:pPr>
      <w:bookmarkStart w:id="5" w:name="_Toc12437020"/>
      <w:r>
        <w:rPr>
          <w:rFonts w:cs="Arial"/>
          <w:b/>
          <w:szCs w:val="24"/>
        </w:rPr>
        <w:t>January 12</w:t>
      </w:r>
      <w:r w:rsidR="00856F68" w:rsidRPr="002958FE">
        <w:rPr>
          <w:rFonts w:cs="Arial"/>
          <w:b/>
          <w:szCs w:val="24"/>
        </w:rPr>
        <w:t xml:space="preserve"> </w:t>
      </w:r>
      <w:r w:rsidR="00353377" w:rsidRPr="002958FE">
        <w:rPr>
          <w:rFonts w:cs="Arial"/>
          <w:b/>
          <w:szCs w:val="24"/>
        </w:rPr>
        <w:t xml:space="preserve">to </w:t>
      </w:r>
      <w:r>
        <w:rPr>
          <w:rFonts w:cs="Arial"/>
          <w:b/>
          <w:szCs w:val="24"/>
        </w:rPr>
        <w:t>April 6, 2023</w:t>
      </w:r>
      <w:r w:rsidR="000D7A37" w:rsidRPr="002958FE">
        <w:rPr>
          <w:rFonts w:cs="Arial"/>
          <w:b/>
          <w:szCs w:val="24"/>
        </w:rPr>
        <w:t xml:space="preserve">, </w:t>
      </w:r>
      <w:r w:rsidR="00CF6619">
        <w:rPr>
          <w:rFonts w:cs="Arial"/>
          <w:b/>
          <w:szCs w:val="24"/>
        </w:rPr>
        <w:t xml:space="preserve">Thursdays, </w:t>
      </w:r>
      <w:r>
        <w:rPr>
          <w:rFonts w:cs="Arial"/>
          <w:b/>
          <w:szCs w:val="24"/>
        </w:rPr>
        <w:t>4:30-7:20pm</w:t>
      </w:r>
      <w:r w:rsidR="002C6ABB" w:rsidRPr="002958FE">
        <w:rPr>
          <w:rFonts w:cs="Arial"/>
          <w:b/>
          <w:szCs w:val="24"/>
        </w:rPr>
        <w:t>.</w:t>
      </w:r>
      <w:bookmarkEnd w:id="5"/>
    </w:p>
    <w:p w14:paraId="3938208A" w14:textId="6B914D90" w:rsidR="00E740EA" w:rsidRPr="00AC5FE6" w:rsidRDefault="003F60FC">
      <w:pPr>
        <w:pStyle w:val="ListParagraph"/>
        <w:numPr>
          <w:ilvl w:val="0"/>
          <w:numId w:val="3"/>
        </w:numPr>
        <w:rPr>
          <w:rFonts w:cs="Arial"/>
          <w:b/>
          <w:szCs w:val="24"/>
        </w:rPr>
      </w:pPr>
      <w:bookmarkStart w:id="6" w:name="_Toc12437021"/>
      <w:r w:rsidRPr="002958FE">
        <w:rPr>
          <w:rFonts w:cs="Arial"/>
          <w:b/>
          <w:szCs w:val="24"/>
        </w:rPr>
        <w:t>Instructor:</w:t>
      </w:r>
      <w:r w:rsidR="00856F68" w:rsidRPr="002958FE">
        <w:rPr>
          <w:rFonts w:cs="Arial"/>
          <w:b/>
          <w:szCs w:val="24"/>
        </w:rPr>
        <w:t xml:space="preserve"> </w:t>
      </w:r>
      <w:bookmarkEnd w:id="6"/>
      <w:r w:rsidR="00D434D6" w:rsidRPr="00AC5FE6">
        <w:rPr>
          <w:rFonts w:cs="Arial"/>
          <w:b/>
          <w:szCs w:val="24"/>
        </w:rPr>
        <w:t>Kristin Roe</w:t>
      </w:r>
    </w:p>
    <w:p w14:paraId="394514CA" w14:textId="167B9AFA" w:rsidR="00E740EA" w:rsidRPr="00AC5FE6" w:rsidRDefault="00856F68">
      <w:pPr>
        <w:pStyle w:val="ListParagraph"/>
        <w:numPr>
          <w:ilvl w:val="0"/>
          <w:numId w:val="3"/>
        </w:numPr>
        <w:rPr>
          <w:rFonts w:cs="Arial"/>
          <w:b/>
          <w:szCs w:val="24"/>
        </w:rPr>
      </w:pPr>
      <w:bookmarkStart w:id="7" w:name="_Toc12437022"/>
      <w:r w:rsidRPr="00AC5FE6">
        <w:rPr>
          <w:rFonts w:cs="Arial"/>
          <w:b/>
          <w:szCs w:val="24"/>
        </w:rPr>
        <w:t xml:space="preserve">Office: KTH- </w:t>
      </w:r>
      <w:bookmarkEnd w:id="7"/>
      <w:r w:rsidR="00CF6619">
        <w:rPr>
          <w:rFonts w:cs="Arial"/>
          <w:b/>
          <w:szCs w:val="24"/>
        </w:rPr>
        <w:t>308</w:t>
      </w:r>
    </w:p>
    <w:p w14:paraId="2A3B6E3D" w14:textId="1D2D4A9A" w:rsidR="00E740EA" w:rsidRPr="00AC5FE6" w:rsidRDefault="005C0205">
      <w:pPr>
        <w:pStyle w:val="ListParagraph"/>
        <w:numPr>
          <w:ilvl w:val="0"/>
          <w:numId w:val="3"/>
        </w:numPr>
        <w:rPr>
          <w:rFonts w:cs="Arial"/>
          <w:b/>
          <w:szCs w:val="24"/>
        </w:rPr>
      </w:pPr>
      <w:bookmarkStart w:id="8" w:name="_Toc12437023"/>
      <w:r w:rsidRPr="00AC5FE6">
        <w:rPr>
          <w:rFonts w:cs="Arial"/>
          <w:b/>
          <w:szCs w:val="24"/>
        </w:rPr>
        <w:t>Office hours: by appointment</w:t>
      </w:r>
      <w:bookmarkEnd w:id="8"/>
    </w:p>
    <w:p w14:paraId="4500E05E" w14:textId="17EFD815" w:rsidR="00353377" w:rsidRPr="002958FE" w:rsidRDefault="003F60FC">
      <w:pPr>
        <w:pStyle w:val="ListParagraph"/>
        <w:numPr>
          <w:ilvl w:val="0"/>
          <w:numId w:val="3"/>
        </w:numPr>
        <w:rPr>
          <w:rFonts w:cs="Arial"/>
          <w:b/>
          <w:szCs w:val="24"/>
        </w:rPr>
      </w:pPr>
      <w:bookmarkStart w:id="9" w:name="_Toc12437024"/>
      <w:r w:rsidRPr="00AC5FE6">
        <w:rPr>
          <w:rFonts w:cs="Arial"/>
          <w:b/>
          <w:szCs w:val="24"/>
        </w:rPr>
        <w:t>Email:</w:t>
      </w:r>
      <w:r w:rsidR="00856F68" w:rsidRPr="00AC5FE6">
        <w:rPr>
          <w:rFonts w:cs="Arial"/>
          <w:b/>
          <w:szCs w:val="24"/>
        </w:rPr>
        <w:t xml:space="preserve"> </w:t>
      </w:r>
      <w:bookmarkEnd w:id="9"/>
      <w:r w:rsidR="00D434D6" w:rsidRPr="00AC5FE6">
        <w:rPr>
          <w:rFonts w:cs="Arial"/>
          <w:b/>
          <w:szCs w:val="24"/>
        </w:rPr>
        <w:t>roek@mcmaster.ca</w:t>
      </w:r>
    </w:p>
    <w:p w14:paraId="4DAC578E" w14:textId="43C692FC" w:rsidR="006C03C8" w:rsidRDefault="006F4CDE" w:rsidP="003F0E2E">
      <w:pPr>
        <w:pStyle w:val="Heading1"/>
        <w:rPr>
          <w:noProof/>
        </w:rPr>
      </w:pPr>
      <w:bookmarkStart w:id="10" w:name="_Toc12350798"/>
      <w:bookmarkStart w:id="11" w:name="_Toc12438428"/>
      <w:bookmarkStart w:id="12" w:name="_Toc12606604"/>
      <w:bookmarkStart w:id="13" w:name="_Toc12437232"/>
      <w:r w:rsidRPr="000A6633">
        <w:t>Table of Contents</w:t>
      </w:r>
      <w:r w:rsidRPr="000A6633">
        <w:rPr>
          <w:lang w:val="en-GB"/>
        </w:rPr>
        <w:t xml:space="preserve"> </w:t>
      </w:r>
      <w:bookmarkStart w:id="14" w:name="_Toc12350799"/>
      <w:bookmarkEnd w:id="10"/>
      <w:bookmarkEnd w:id="11"/>
      <w:bookmarkEnd w:id="12"/>
      <w:r w:rsidR="004B7060" w:rsidRPr="002958FE">
        <w:rPr>
          <w:rFonts w:eastAsia="Times New Roman" w:cs="Arial"/>
          <w:color w:val="auto"/>
          <w:sz w:val="24"/>
          <w:szCs w:val="24"/>
        </w:rPr>
        <w:fldChar w:fldCharType="begin"/>
      </w:r>
      <w:r w:rsidR="004B7060" w:rsidRPr="002958FE">
        <w:rPr>
          <w:rFonts w:eastAsia="Times New Roman" w:cs="Arial"/>
          <w:color w:val="auto"/>
          <w:sz w:val="24"/>
          <w:szCs w:val="24"/>
        </w:rPr>
        <w:instrText xml:space="preserve"> TOC \o "1-1" \h \z \u </w:instrText>
      </w:r>
      <w:r w:rsidR="004B7060" w:rsidRPr="002958FE">
        <w:rPr>
          <w:rFonts w:eastAsia="Times New Roman" w:cs="Arial"/>
          <w:color w:val="auto"/>
          <w:sz w:val="24"/>
          <w:szCs w:val="24"/>
        </w:rPr>
        <w:fldChar w:fldCharType="separate"/>
      </w:r>
    </w:p>
    <w:p w14:paraId="67A7C185" w14:textId="70000618" w:rsidR="006C03C8" w:rsidRPr="006C03C8" w:rsidRDefault="00000000">
      <w:pPr>
        <w:pStyle w:val="TOC1"/>
        <w:tabs>
          <w:tab w:val="right" w:leader="dot" w:pos="9350"/>
        </w:tabs>
        <w:rPr>
          <w:rFonts w:ascii="Arial" w:eastAsiaTheme="minorEastAsia" w:hAnsi="Arial" w:cs="Arial"/>
          <w:b/>
          <w:noProof/>
          <w:sz w:val="22"/>
          <w:szCs w:val="22"/>
        </w:rPr>
      </w:pPr>
      <w:hyperlink w:anchor="_Toc12606605" w:history="1">
        <w:r w:rsidR="006C03C8" w:rsidRPr="006C03C8">
          <w:rPr>
            <w:rStyle w:val="Hyperlink"/>
            <w:rFonts w:ascii="Arial" w:hAnsi="Arial" w:cs="Arial"/>
            <w:b/>
            <w:noProof/>
          </w:rPr>
          <w:t>Course Overview</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_Toc12606605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090428">
          <w:rPr>
            <w:rFonts w:ascii="Arial" w:hAnsi="Arial" w:cs="Arial"/>
            <w:b/>
            <w:noProof/>
            <w:webHidden/>
          </w:rPr>
          <w:t>1</w:t>
        </w:r>
        <w:r w:rsidR="006C03C8" w:rsidRPr="006C03C8">
          <w:rPr>
            <w:rFonts w:ascii="Arial" w:hAnsi="Arial" w:cs="Arial"/>
            <w:b/>
            <w:noProof/>
            <w:webHidden/>
          </w:rPr>
          <w:fldChar w:fldCharType="end"/>
        </w:r>
      </w:hyperlink>
    </w:p>
    <w:p w14:paraId="29B7EA7A" w14:textId="0AD54CCB" w:rsidR="006C03C8" w:rsidRPr="006C03C8" w:rsidRDefault="00000000">
      <w:pPr>
        <w:pStyle w:val="TOC1"/>
        <w:tabs>
          <w:tab w:val="right" w:leader="dot" w:pos="9350"/>
        </w:tabs>
        <w:rPr>
          <w:rFonts w:ascii="Arial" w:eastAsiaTheme="minorEastAsia" w:hAnsi="Arial" w:cs="Arial"/>
          <w:b/>
          <w:noProof/>
          <w:sz w:val="22"/>
          <w:szCs w:val="22"/>
        </w:rPr>
      </w:pPr>
      <w:hyperlink w:anchor="_Toc12606606" w:history="1">
        <w:r w:rsidR="006C03C8" w:rsidRPr="006C03C8">
          <w:rPr>
            <w:rStyle w:val="Hyperlink"/>
            <w:rFonts w:ascii="Arial" w:hAnsi="Arial" w:cs="Arial"/>
            <w:b/>
            <w:noProof/>
          </w:rPr>
          <w:t>Course Requirements/Assignments</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_Toc12606606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090428">
          <w:rPr>
            <w:rFonts w:ascii="Arial" w:hAnsi="Arial" w:cs="Arial"/>
            <w:b/>
            <w:noProof/>
            <w:webHidden/>
          </w:rPr>
          <w:t>3</w:t>
        </w:r>
        <w:r w:rsidR="006C03C8" w:rsidRPr="006C03C8">
          <w:rPr>
            <w:rFonts w:ascii="Arial" w:hAnsi="Arial" w:cs="Arial"/>
            <w:b/>
            <w:noProof/>
            <w:webHidden/>
          </w:rPr>
          <w:fldChar w:fldCharType="end"/>
        </w:r>
      </w:hyperlink>
    </w:p>
    <w:p w14:paraId="0FAB1806" w14:textId="7123984D" w:rsidR="006C03C8" w:rsidRPr="006C03C8" w:rsidRDefault="00000000">
      <w:pPr>
        <w:pStyle w:val="TOC1"/>
        <w:tabs>
          <w:tab w:val="right" w:leader="dot" w:pos="9350"/>
        </w:tabs>
        <w:rPr>
          <w:rFonts w:ascii="Arial" w:eastAsiaTheme="minorEastAsia" w:hAnsi="Arial" w:cs="Arial"/>
          <w:b/>
          <w:noProof/>
          <w:sz w:val="22"/>
          <w:szCs w:val="22"/>
        </w:rPr>
      </w:pPr>
      <w:hyperlink w:anchor="_Toc12606607" w:history="1">
        <w:r w:rsidR="006C03C8" w:rsidRPr="006C03C8">
          <w:rPr>
            <w:rStyle w:val="Hyperlink"/>
            <w:rFonts w:ascii="Arial" w:hAnsi="Arial" w:cs="Arial"/>
            <w:b/>
            <w:noProof/>
            <w:lang w:val="en-GB"/>
          </w:rPr>
          <w:t>Assignment Submission and Grading</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_Toc12606607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090428">
          <w:rPr>
            <w:rFonts w:ascii="Arial" w:hAnsi="Arial" w:cs="Arial"/>
            <w:b/>
            <w:noProof/>
            <w:webHidden/>
          </w:rPr>
          <w:t>4</w:t>
        </w:r>
        <w:r w:rsidR="006C03C8" w:rsidRPr="006C03C8">
          <w:rPr>
            <w:rFonts w:ascii="Arial" w:hAnsi="Arial" w:cs="Arial"/>
            <w:b/>
            <w:noProof/>
            <w:webHidden/>
          </w:rPr>
          <w:fldChar w:fldCharType="end"/>
        </w:r>
      </w:hyperlink>
    </w:p>
    <w:p w14:paraId="31C55F85" w14:textId="2C863E1D" w:rsidR="006C03C8" w:rsidRPr="006C03C8" w:rsidRDefault="00000000">
      <w:pPr>
        <w:pStyle w:val="TOC1"/>
        <w:tabs>
          <w:tab w:val="right" w:leader="dot" w:pos="9350"/>
        </w:tabs>
        <w:rPr>
          <w:rFonts w:ascii="Arial" w:eastAsiaTheme="minorEastAsia" w:hAnsi="Arial" w:cs="Arial"/>
          <w:b/>
          <w:noProof/>
          <w:sz w:val="22"/>
          <w:szCs w:val="22"/>
        </w:rPr>
      </w:pPr>
      <w:hyperlink w:anchor="_Toc12606608" w:history="1">
        <w:r w:rsidR="006C03C8" w:rsidRPr="006C03C8">
          <w:rPr>
            <w:rStyle w:val="Hyperlink"/>
            <w:rFonts w:ascii="Arial" w:hAnsi="Arial" w:cs="Arial"/>
            <w:b/>
            <w:noProof/>
          </w:rPr>
          <w:t>Student Responsibilities</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_Toc12606608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090428">
          <w:rPr>
            <w:rFonts w:ascii="Arial" w:hAnsi="Arial" w:cs="Arial"/>
            <w:b/>
            <w:noProof/>
            <w:webHidden/>
          </w:rPr>
          <w:t>7</w:t>
        </w:r>
        <w:r w:rsidR="006C03C8" w:rsidRPr="006C03C8">
          <w:rPr>
            <w:rFonts w:ascii="Arial" w:hAnsi="Arial" w:cs="Arial"/>
            <w:b/>
            <w:noProof/>
            <w:webHidden/>
          </w:rPr>
          <w:fldChar w:fldCharType="end"/>
        </w:r>
      </w:hyperlink>
    </w:p>
    <w:p w14:paraId="7BEE33C6" w14:textId="419C587C" w:rsidR="006C03C8" w:rsidRPr="006C03C8" w:rsidRDefault="00000000">
      <w:pPr>
        <w:pStyle w:val="TOC1"/>
        <w:tabs>
          <w:tab w:val="right" w:leader="dot" w:pos="9350"/>
        </w:tabs>
        <w:rPr>
          <w:rFonts w:ascii="Arial" w:eastAsiaTheme="minorEastAsia" w:hAnsi="Arial" w:cs="Arial"/>
          <w:b/>
          <w:noProof/>
          <w:sz w:val="22"/>
          <w:szCs w:val="22"/>
        </w:rPr>
      </w:pPr>
      <w:hyperlink w:anchor="_Toc12606609" w:history="1">
        <w:r w:rsidR="006C03C8" w:rsidRPr="006C03C8">
          <w:rPr>
            <w:rStyle w:val="Hyperlink"/>
            <w:rFonts w:ascii="Arial" w:hAnsi="Arial" w:cs="Arial"/>
            <w:b/>
            <w:noProof/>
          </w:rPr>
          <w:t>Course Weekly Topics and Readings</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_Toc12606609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090428">
          <w:rPr>
            <w:rFonts w:ascii="Arial" w:hAnsi="Arial" w:cs="Arial"/>
            <w:b/>
            <w:noProof/>
            <w:webHidden/>
          </w:rPr>
          <w:t>10</w:t>
        </w:r>
        <w:r w:rsidR="006C03C8" w:rsidRPr="006C03C8">
          <w:rPr>
            <w:rFonts w:ascii="Arial" w:hAnsi="Arial" w:cs="Arial"/>
            <w:b/>
            <w:noProof/>
            <w:webHidden/>
          </w:rPr>
          <w:fldChar w:fldCharType="end"/>
        </w:r>
      </w:hyperlink>
    </w:p>
    <w:p w14:paraId="7C45378D" w14:textId="77777777" w:rsidR="00B87E74" w:rsidRPr="000A6633" w:rsidRDefault="004B7060" w:rsidP="003F0E2E">
      <w:pPr>
        <w:pStyle w:val="Heading1"/>
      </w:pPr>
      <w:r w:rsidRPr="002958FE">
        <w:rPr>
          <w:rFonts w:eastAsia="Times New Roman" w:cs="Arial"/>
          <w:color w:val="auto"/>
          <w:sz w:val="24"/>
          <w:szCs w:val="24"/>
        </w:rPr>
        <w:fldChar w:fldCharType="end"/>
      </w:r>
      <w:bookmarkStart w:id="15" w:name="_Toc12606605"/>
      <w:r w:rsidR="00B87E74" w:rsidRPr="000A6633">
        <w:t>Course Overview</w:t>
      </w:r>
      <w:bookmarkEnd w:id="13"/>
      <w:bookmarkEnd w:id="14"/>
      <w:bookmarkEnd w:id="15"/>
    </w:p>
    <w:p w14:paraId="0671098C" w14:textId="77777777" w:rsidR="007F0D43" w:rsidRPr="000A6633" w:rsidRDefault="003F60FC" w:rsidP="00F04477">
      <w:pPr>
        <w:pStyle w:val="Heading2"/>
      </w:pPr>
      <w:bookmarkStart w:id="16" w:name="_Toc12350800"/>
      <w:r w:rsidRPr="000A6633">
        <w:t>Course Description:</w:t>
      </w:r>
      <w:bookmarkEnd w:id="16"/>
    </w:p>
    <w:p w14:paraId="00FA30B0" w14:textId="77777777" w:rsidR="00D434D6" w:rsidRDefault="00D434D6" w:rsidP="00D434D6">
      <w:bookmarkStart w:id="17" w:name="_Toc12350801"/>
      <w:r w:rsidRPr="001E5D6F">
        <w:t>This course examines the changing structure of social service organizations and its implications for how social workers think, speak, act, and envision their engagement in the lives of service users. Central to the course focus is a critical analysis of the constraints and possibilities of fashioning social work practices in the interests of service users and communities, in keeping with the overarching philosophy of the School of Social Work.</w:t>
      </w:r>
    </w:p>
    <w:p w14:paraId="2FA5FAE1" w14:textId="5ED31CA2" w:rsidR="00716392" w:rsidRPr="000A6633" w:rsidRDefault="009C48C6" w:rsidP="00F04477">
      <w:pPr>
        <w:pStyle w:val="Heading2"/>
      </w:pPr>
      <w:r w:rsidRPr="000A6633">
        <w:t>Course Objectives:</w:t>
      </w:r>
      <w:bookmarkEnd w:id="17"/>
    </w:p>
    <w:p w14:paraId="4981AFE1" w14:textId="77777777" w:rsidR="00D434D6" w:rsidRPr="00C152E1" w:rsidRDefault="00D434D6">
      <w:pPr>
        <w:pStyle w:val="ListParagraph"/>
        <w:numPr>
          <w:ilvl w:val="0"/>
          <w:numId w:val="1"/>
        </w:numPr>
        <w:spacing w:after="240"/>
      </w:pPr>
      <w:r w:rsidRPr="00C152E1">
        <w:t>To explore the substantive tension</w:t>
      </w:r>
      <w:r>
        <w:t>s</w:t>
      </w:r>
      <w:r w:rsidRPr="00C152E1">
        <w:t xml:space="preserve"> in contemporary social work practices and </w:t>
      </w:r>
      <w:r>
        <w:t xml:space="preserve">the implications for social workers, service users, and </w:t>
      </w:r>
      <w:r w:rsidRPr="00C152E1">
        <w:t xml:space="preserve">the social work profession. </w:t>
      </w:r>
    </w:p>
    <w:p w14:paraId="0F452195" w14:textId="77777777" w:rsidR="00D434D6" w:rsidRPr="00C152E1" w:rsidRDefault="00D434D6">
      <w:pPr>
        <w:pStyle w:val="ListParagraph"/>
        <w:numPr>
          <w:ilvl w:val="0"/>
          <w:numId w:val="1"/>
        </w:numPr>
        <w:spacing w:after="240"/>
      </w:pPr>
      <w:r w:rsidRPr="00C152E1">
        <w:t xml:space="preserve">To develop an understanding of the broader contextual forces in which local social work practices, practitioners’ work lives, and service users’ everyday </w:t>
      </w:r>
      <w:r w:rsidRPr="00C152E1">
        <w:lastRenderedPageBreak/>
        <w:t>experiences are embedded: ongoing economic globalization; welfare restructuring and the erosion of social programs; imperatives towards individual responsibility; the rise of managerialism and the importing of business models into public service delivery.</w:t>
      </w:r>
    </w:p>
    <w:p w14:paraId="6A26189C" w14:textId="16D53F24" w:rsidR="00D434D6" w:rsidRPr="00713503" w:rsidRDefault="00D434D6">
      <w:pPr>
        <w:pStyle w:val="ListParagraph"/>
        <w:numPr>
          <w:ilvl w:val="0"/>
          <w:numId w:val="1"/>
        </w:numPr>
        <w:spacing w:after="240"/>
      </w:pPr>
      <w:r w:rsidRPr="00C152E1">
        <w:t xml:space="preserve">To explore an approach to the analysis of </w:t>
      </w:r>
      <w:r>
        <w:t xml:space="preserve">institutional work processes and practices </w:t>
      </w:r>
      <w:r w:rsidRPr="00713503">
        <w:t xml:space="preserve">through a critical equity lens (in the form of documentation, accountability mechanisms, and ideological practices) as the organizers of local social work practices. </w:t>
      </w:r>
    </w:p>
    <w:p w14:paraId="022FDA7B" w14:textId="34DB2E14" w:rsidR="00D434D6" w:rsidRPr="000042C3" w:rsidRDefault="00D434D6" w:rsidP="000042C3">
      <w:pPr>
        <w:pStyle w:val="ListParagraph"/>
        <w:numPr>
          <w:ilvl w:val="0"/>
          <w:numId w:val="1"/>
        </w:numPr>
        <w:spacing w:after="240"/>
        <w:rPr>
          <w:rFonts w:cs="Calibri"/>
          <w:b/>
          <w:szCs w:val="24"/>
        </w:rPr>
      </w:pPr>
      <w:r w:rsidRPr="00713503">
        <w:t>To develop a capacity to identify possibilities and strategies to interrogate and interrupt oppressive institutional processes and practices, and to develop social work practices that better serve the interests of service users and marginalized communities and improve the practitioners’ work lives.</w:t>
      </w:r>
    </w:p>
    <w:p w14:paraId="17AB6BC4" w14:textId="77777777" w:rsidR="003F60FC" w:rsidRPr="000A6633" w:rsidRDefault="003F60FC" w:rsidP="002958FE">
      <w:r w:rsidRPr="000A6633">
        <w:t xml:space="preserve">The basic assumptions of this course concur with the broader curriculum context set by the </w:t>
      </w:r>
      <w:r w:rsidRPr="000A6633">
        <w:rPr>
          <w:b/>
          <w:bCs/>
        </w:rPr>
        <w:t>School of Social Work's Statement of Philosophy</w:t>
      </w:r>
      <w:r w:rsidRPr="000A6633">
        <w:t>:</w:t>
      </w:r>
    </w:p>
    <w:p w14:paraId="2652035D" w14:textId="77777777" w:rsidR="00B87E74" w:rsidRPr="002958FE" w:rsidRDefault="003F60FC" w:rsidP="002958FE">
      <w:pPr>
        <w:rPr>
          <w:b/>
          <w:i/>
        </w:rPr>
      </w:pPr>
      <w:r w:rsidRPr="002958FE">
        <w:rPr>
          <w:i/>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3357D35D" w14:textId="4F86E32C" w:rsidR="00B87E74" w:rsidRDefault="00B87E74" w:rsidP="00F04477">
      <w:pPr>
        <w:pStyle w:val="Heading2"/>
      </w:pPr>
      <w:bookmarkStart w:id="18" w:name="_Toc12350802"/>
      <w:r w:rsidRPr="000A6633">
        <w:t>Course Format</w:t>
      </w:r>
      <w:bookmarkEnd w:id="18"/>
    </w:p>
    <w:p w14:paraId="387EACF2" w14:textId="5764E0D8" w:rsidR="00D434D6" w:rsidRPr="000042C3" w:rsidRDefault="00D434D6" w:rsidP="000042C3">
      <w:pPr>
        <w:pStyle w:val="ListParagraph"/>
        <w:numPr>
          <w:ilvl w:val="0"/>
          <w:numId w:val="22"/>
        </w:numPr>
        <w:spacing w:after="240"/>
        <w:contextualSpacing w:val="0"/>
      </w:pPr>
      <w:r w:rsidRPr="000042C3">
        <w:t>Classes will be conducted as seminars. Your participation is crucial to build a positive intellectual environment where everyone feels</w:t>
      </w:r>
      <w:r w:rsidR="005E7469" w:rsidRPr="000042C3">
        <w:t xml:space="preserve"> included</w:t>
      </w:r>
      <w:r w:rsidRPr="000042C3">
        <w:t xml:space="preserve"> and encouraged to pose questions, offer critiques, and engage in debates and open dialogues about issues important to us and the social work profession. </w:t>
      </w:r>
    </w:p>
    <w:p w14:paraId="6EBD87EB" w14:textId="6BFEEE1E" w:rsidR="00D434D6" w:rsidRPr="000042C3" w:rsidRDefault="00D434D6" w:rsidP="000042C3">
      <w:pPr>
        <w:pStyle w:val="ListParagraph"/>
        <w:numPr>
          <w:ilvl w:val="0"/>
          <w:numId w:val="22"/>
        </w:numPr>
        <w:spacing w:after="240"/>
        <w:contextualSpacing w:val="0"/>
      </w:pPr>
      <w:r w:rsidRPr="000042C3">
        <w:t>Required reading is identified for each week and some additional suggested readings for those interested in exploring further on a particular topic are identified.</w:t>
      </w:r>
    </w:p>
    <w:p w14:paraId="04C5EF6C" w14:textId="29E5B955" w:rsidR="00D434D6" w:rsidRPr="000042C3" w:rsidRDefault="00713503" w:rsidP="00D434D6">
      <w:pPr>
        <w:pStyle w:val="ListParagraph"/>
        <w:numPr>
          <w:ilvl w:val="0"/>
          <w:numId w:val="22"/>
        </w:numPr>
        <w:spacing w:after="240"/>
        <w:contextualSpacing w:val="0"/>
      </w:pPr>
      <w:r w:rsidRPr="000042C3">
        <w:rPr>
          <w:b/>
          <w:bCs/>
        </w:rPr>
        <w:t>In-person</w:t>
      </w:r>
      <w:r w:rsidR="005E7469" w:rsidRPr="000042C3">
        <w:rPr>
          <w:b/>
          <w:bCs/>
        </w:rPr>
        <w:t xml:space="preserve"> </w:t>
      </w:r>
      <w:r w:rsidRPr="000042C3">
        <w:rPr>
          <w:b/>
          <w:bCs/>
        </w:rPr>
        <w:t>Classes will meet in</w:t>
      </w:r>
      <w:r w:rsidR="005E7469" w:rsidRPr="000042C3">
        <w:t xml:space="preserve"> </w:t>
      </w:r>
      <w:r w:rsidR="005E7469" w:rsidRPr="000042C3">
        <w:rPr>
          <w:rFonts w:cs="Arial"/>
          <w:color w:val="201F1E"/>
          <w:szCs w:val="24"/>
          <w:shd w:val="clear" w:color="auto" w:fill="FAFAFA"/>
          <w:lang w:eastAsia="en-GB"/>
        </w:rPr>
        <w:t>KTH-308</w:t>
      </w:r>
    </w:p>
    <w:p w14:paraId="353E2916" w14:textId="41BFF0A7" w:rsidR="00B87E74" w:rsidRPr="000A6633" w:rsidRDefault="00B87E74" w:rsidP="00F04477">
      <w:pPr>
        <w:pStyle w:val="Heading2"/>
      </w:pPr>
      <w:bookmarkStart w:id="19" w:name="_Toc12350803"/>
      <w:r w:rsidRPr="000A6633">
        <w:t>Required Texts:</w:t>
      </w:r>
      <w:bookmarkEnd w:id="19"/>
    </w:p>
    <w:p w14:paraId="1DF7866D" w14:textId="1AAFD29F" w:rsidR="00B87E74" w:rsidRPr="005E7469" w:rsidRDefault="005E7469" w:rsidP="005E7469">
      <w:pPr>
        <w:rPr>
          <w:bCs/>
        </w:rPr>
      </w:pPr>
      <w:r w:rsidRPr="005E7469">
        <w:rPr>
          <w:bCs/>
        </w:rPr>
        <w:t>All required readings are available through Avenue to Learn</w:t>
      </w:r>
    </w:p>
    <w:p w14:paraId="3BECBB58" w14:textId="77777777" w:rsidR="001F3D7B" w:rsidRPr="004B7060" w:rsidRDefault="001F3D7B" w:rsidP="00F04477">
      <w:pPr>
        <w:pStyle w:val="Heading2"/>
      </w:pPr>
      <w:bookmarkStart w:id="20" w:name="_Toc12350804"/>
      <w:r w:rsidRPr="000A6633">
        <w:lastRenderedPageBreak/>
        <w:t>Additional Suggested Readings</w:t>
      </w:r>
      <w:bookmarkEnd w:id="20"/>
    </w:p>
    <w:p w14:paraId="31A6ECFB" w14:textId="40AB5937" w:rsidR="005E7469" w:rsidRDefault="005E7469" w:rsidP="00F04477">
      <w:r>
        <w:t>Additional Suggested Readings are available through McMaster Library – electronic datable or book format. This includes:</w:t>
      </w:r>
    </w:p>
    <w:p w14:paraId="444D1664" w14:textId="53788E11" w:rsidR="005E7469" w:rsidRPr="00F04477" w:rsidRDefault="005E7469" w:rsidP="00F04477">
      <w:pPr>
        <w:pStyle w:val="ListParagraph"/>
        <w:numPr>
          <w:ilvl w:val="0"/>
          <w:numId w:val="11"/>
        </w:numPr>
        <w:spacing w:after="240"/>
      </w:pPr>
      <w:r>
        <w:t>Campbell, M. &amp;</w:t>
      </w:r>
      <w:r w:rsidRPr="00E57B9B">
        <w:t xml:space="preserve"> Gregor, F. (2002). </w:t>
      </w:r>
      <w:r w:rsidRPr="00A841EA">
        <w:t>Mapping Social Relations: A Primer in Doing Institutional Ethnography</w:t>
      </w:r>
      <w:r w:rsidRPr="00E57B9B">
        <w:t>. Aurora, ON: Garamond Press.</w:t>
      </w:r>
    </w:p>
    <w:p w14:paraId="757A8287" w14:textId="77777777" w:rsidR="00B87E74" w:rsidRPr="000A6633" w:rsidRDefault="00B87E74" w:rsidP="003F0E2E">
      <w:pPr>
        <w:pStyle w:val="Heading1"/>
      </w:pPr>
      <w:bookmarkStart w:id="21" w:name="_Toc12350805"/>
      <w:bookmarkStart w:id="22" w:name="_Toc12606606"/>
      <w:r w:rsidRPr="000A6633">
        <w:t>Course Requirements</w:t>
      </w:r>
      <w:r w:rsidR="001F3D7B" w:rsidRPr="000A6633">
        <w:t>/Assignments</w:t>
      </w:r>
      <w:bookmarkEnd w:id="21"/>
      <w:bookmarkEnd w:id="22"/>
    </w:p>
    <w:p w14:paraId="77EE5E3D" w14:textId="0CA74FEA" w:rsidR="00B87E74" w:rsidRDefault="00B87E74" w:rsidP="00F04477">
      <w:pPr>
        <w:pStyle w:val="Heading2"/>
      </w:pPr>
      <w:bookmarkStart w:id="23" w:name="_Toc12350806"/>
      <w:r w:rsidRPr="000A6633">
        <w:t>Overview and Deadlines</w:t>
      </w:r>
      <w:bookmarkEnd w:id="23"/>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8"/>
        <w:gridCol w:w="2161"/>
        <w:gridCol w:w="2693"/>
      </w:tblGrid>
      <w:tr w:rsidR="008163FD" w:rsidRPr="00721D1D" w14:paraId="7DE546ED" w14:textId="77777777" w:rsidTr="00F04477">
        <w:trPr>
          <w:cantSplit/>
          <w:trHeight w:val="322"/>
          <w:tblHeader/>
        </w:trPr>
        <w:tc>
          <w:tcPr>
            <w:tcW w:w="2658" w:type="dxa"/>
            <w:shd w:val="clear" w:color="auto" w:fill="auto"/>
          </w:tcPr>
          <w:p w14:paraId="2061DC3D" w14:textId="77777777" w:rsidR="008163FD" w:rsidRPr="00721D1D" w:rsidRDefault="008163FD" w:rsidP="00BD5BD2">
            <w:pPr>
              <w:widowControl w:val="0"/>
              <w:autoSpaceDE w:val="0"/>
              <w:autoSpaceDN w:val="0"/>
              <w:adjustRightInd w:val="0"/>
              <w:rPr>
                <w:b/>
                <w:bCs/>
                <w:lang w:val="en-GB"/>
              </w:rPr>
            </w:pPr>
            <w:r w:rsidRPr="00721D1D">
              <w:rPr>
                <w:b/>
                <w:bCs/>
                <w:lang w:val="en-GB"/>
              </w:rPr>
              <w:t>Assignment</w:t>
            </w:r>
          </w:p>
        </w:tc>
        <w:tc>
          <w:tcPr>
            <w:tcW w:w="2161" w:type="dxa"/>
            <w:shd w:val="clear" w:color="auto" w:fill="auto"/>
          </w:tcPr>
          <w:p w14:paraId="654AD983" w14:textId="77777777" w:rsidR="008163FD" w:rsidRPr="00721D1D" w:rsidRDefault="008163FD" w:rsidP="00BD5BD2">
            <w:pPr>
              <w:widowControl w:val="0"/>
              <w:autoSpaceDE w:val="0"/>
              <w:autoSpaceDN w:val="0"/>
              <w:adjustRightInd w:val="0"/>
              <w:rPr>
                <w:b/>
                <w:bCs/>
                <w:lang w:val="en-GB"/>
              </w:rPr>
            </w:pPr>
            <w:r w:rsidRPr="00721D1D">
              <w:rPr>
                <w:b/>
                <w:bCs/>
                <w:lang w:val="en-GB"/>
              </w:rPr>
              <w:t>Grade Value</w:t>
            </w:r>
          </w:p>
        </w:tc>
        <w:tc>
          <w:tcPr>
            <w:tcW w:w="2693" w:type="dxa"/>
            <w:shd w:val="clear" w:color="auto" w:fill="auto"/>
          </w:tcPr>
          <w:p w14:paraId="03877021" w14:textId="77777777" w:rsidR="008163FD" w:rsidRPr="00721D1D" w:rsidRDefault="008163FD" w:rsidP="00BD5BD2">
            <w:pPr>
              <w:widowControl w:val="0"/>
              <w:autoSpaceDE w:val="0"/>
              <w:autoSpaceDN w:val="0"/>
              <w:adjustRightInd w:val="0"/>
              <w:rPr>
                <w:b/>
                <w:bCs/>
                <w:lang w:val="en-GB"/>
              </w:rPr>
            </w:pPr>
            <w:r w:rsidRPr="00721D1D">
              <w:rPr>
                <w:b/>
                <w:bCs/>
                <w:lang w:val="en-GB"/>
              </w:rPr>
              <w:t>Due Date</w:t>
            </w:r>
          </w:p>
        </w:tc>
      </w:tr>
      <w:tr w:rsidR="008163FD" w:rsidRPr="00721D1D" w14:paraId="3A6EC044" w14:textId="77777777" w:rsidTr="00F04477">
        <w:trPr>
          <w:cantSplit/>
          <w:trHeight w:val="642"/>
          <w:tblHeader/>
        </w:trPr>
        <w:tc>
          <w:tcPr>
            <w:tcW w:w="2658" w:type="dxa"/>
            <w:shd w:val="clear" w:color="auto" w:fill="auto"/>
          </w:tcPr>
          <w:p w14:paraId="5FDEE0FD" w14:textId="77777777" w:rsidR="008163FD" w:rsidRPr="00721D1D" w:rsidRDefault="008163FD" w:rsidP="00BD5BD2">
            <w:pPr>
              <w:widowControl w:val="0"/>
              <w:autoSpaceDE w:val="0"/>
              <w:autoSpaceDN w:val="0"/>
              <w:adjustRightInd w:val="0"/>
              <w:rPr>
                <w:lang w:val="en-GB"/>
              </w:rPr>
            </w:pPr>
            <w:r w:rsidRPr="00721D1D">
              <w:rPr>
                <w:lang w:val="en-GB"/>
              </w:rPr>
              <w:t>Exploration of a practice puzzle</w:t>
            </w:r>
          </w:p>
        </w:tc>
        <w:tc>
          <w:tcPr>
            <w:tcW w:w="2161" w:type="dxa"/>
            <w:shd w:val="clear" w:color="auto" w:fill="auto"/>
          </w:tcPr>
          <w:p w14:paraId="046A4386" w14:textId="77777777" w:rsidR="008163FD" w:rsidRPr="00721D1D" w:rsidRDefault="008163FD" w:rsidP="00BD5BD2">
            <w:pPr>
              <w:widowControl w:val="0"/>
              <w:autoSpaceDE w:val="0"/>
              <w:autoSpaceDN w:val="0"/>
              <w:adjustRightInd w:val="0"/>
              <w:rPr>
                <w:lang w:val="en-GB"/>
              </w:rPr>
            </w:pPr>
            <w:r w:rsidRPr="00721D1D">
              <w:rPr>
                <w:lang w:val="en-GB"/>
              </w:rPr>
              <w:t>20%</w:t>
            </w:r>
          </w:p>
        </w:tc>
        <w:tc>
          <w:tcPr>
            <w:tcW w:w="2693" w:type="dxa"/>
            <w:shd w:val="clear" w:color="auto" w:fill="auto"/>
          </w:tcPr>
          <w:p w14:paraId="7BAD1796" w14:textId="13DBFC89" w:rsidR="008163FD" w:rsidRPr="00721D1D" w:rsidRDefault="008163FD" w:rsidP="00BD5BD2">
            <w:pPr>
              <w:widowControl w:val="0"/>
              <w:autoSpaceDE w:val="0"/>
              <w:autoSpaceDN w:val="0"/>
              <w:adjustRightInd w:val="0"/>
              <w:rPr>
                <w:lang w:val="en-GB"/>
              </w:rPr>
            </w:pPr>
            <w:r w:rsidRPr="00713503">
              <w:rPr>
                <w:lang w:val="en-GB"/>
              </w:rPr>
              <w:t>January 29</w:t>
            </w:r>
            <w:r w:rsidRPr="00713503">
              <w:rPr>
                <w:vertAlign w:val="superscript"/>
                <w:lang w:val="en-GB"/>
              </w:rPr>
              <w:t>th</w:t>
            </w:r>
            <w:r w:rsidRPr="00713503">
              <w:rPr>
                <w:lang w:val="en-GB"/>
              </w:rPr>
              <w:t>, 2023</w:t>
            </w:r>
          </w:p>
        </w:tc>
      </w:tr>
      <w:tr w:rsidR="008163FD" w:rsidRPr="00721D1D" w14:paraId="47A717B0" w14:textId="77777777" w:rsidTr="00F04477">
        <w:trPr>
          <w:cantSplit/>
          <w:tblHeader/>
        </w:trPr>
        <w:tc>
          <w:tcPr>
            <w:tcW w:w="2658" w:type="dxa"/>
            <w:shd w:val="clear" w:color="auto" w:fill="auto"/>
          </w:tcPr>
          <w:p w14:paraId="45D2C466" w14:textId="77777777" w:rsidR="008163FD" w:rsidRPr="00721D1D" w:rsidRDefault="008163FD" w:rsidP="00BD5BD2">
            <w:pPr>
              <w:widowControl w:val="0"/>
              <w:autoSpaceDE w:val="0"/>
              <w:autoSpaceDN w:val="0"/>
              <w:adjustRightInd w:val="0"/>
              <w:rPr>
                <w:lang w:val="en-GB"/>
              </w:rPr>
            </w:pPr>
            <w:r w:rsidRPr="00721D1D">
              <w:rPr>
                <w:lang w:val="en-GB"/>
              </w:rPr>
              <w:t>Class presentation</w:t>
            </w:r>
          </w:p>
        </w:tc>
        <w:tc>
          <w:tcPr>
            <w:tcW w:w="2161" w:type="dxa"/>
            <w:shd w:val="clear" w:color="auto" w:fill="auto"/>
          </w:tcPr>
          <w:p w14:paraId="41C552C6" w14:textId="77777777" w:rsidR="008163FD" w:rsidRPr="00721D1D" w:rsidRDefault="008163FD" w:rsidP="00BD5BD2">
            <w:pPr>
              <w:widowControl w:val="0"/>
              <w:autoSpaceDE w:val="0"/>
              <w:autoSpaceDN w:val="0"/>
              <w:adjustRightInd w:val="0"/>
              <w:rPr>
                <w:lang w:val="en-GB"/>
              </w:rPr>
            </w:pPr>
            <w:r w:rsidRPr="00721D1D">
              <w:rPr>
                <w:lang w:val="en-GB"/>
              </w:rPr>
              <w:t>35%</w:t>
            </w:r>
          </w:p>
        </w:tc>
        <w:tc>
          <w:tcPr>
            <w:tcW w:w="2693" w:type="dxa"/>
            <w:shd w:val="clear" w:color="auto" w:fill="auto"/>
          </w:tcPr>
          <w:p w14:paraId="4A0547FA" w14:textId="287E2528" w:rsidR="008163FD" w:rsidRPr="00721D1D" w:rsidRDefault="008163FD" w:rsidP="00BD5BD2">
            <w:pPr>
              <w:widowControl w:val="0"/>
              <w:autoSpaceDE w:val="0"/>
              <w:autoSpaceDN w:val="0"/>
              <w:adjustRightInd w:val="0"/>
              <w:rPr>
                <w:lang w:val="en-GB"/>
              </w:rPr>
            </w:pPr>
            <w:r>
              <w:rPr>
                <w:lang w:val="en-GB"/>
              </w:rPr>
              <w:t>Ongoing</w:t>
            </w:r>
          </w:p>
        </w:tc>
      </w:tr>
      <w:tr w:rsidR="008163FD" w:rsidRPr="00721D1D" w14:paraId="1E364C1E" w14:textId="77777777" w:rsidTr="00F04477">
        <w:trPr>
          <w:cantSplit/>
          <w:tblHeader/>
        </w:trPr>
        <w:tc>
          <w:tcPr>
            <w:tcW w:w="2658" w:type="dxa"/>
            <w:shd w:val="clear" w:color="auto" w:fill="auto"/>
          </w:tcPr>
          <w:p w14:paraId="70449AEB" w14:textId="77777777" w:rsidR="008163FD" w:rsidRPr="00721D1D" w:rsidRDefault="008163FD" w:rsidP="00BD5BD2">
            <w:pPr>
              <w:widowControl w:val="0"/>
              <w:autoSpaceDE w:val="0"/>
              <w:autoSpaceDN w:val="0"/>
              <w:adjustRightInd w:val="0"/>
              <w:rPr>
                <w:lang w:val="en-GB"/>
              </w:rPr>
            </w:pPr>
            <w:r w:rsidRPr="00721D1D">
              <w:rPr>
                <w:lang w:val="en-GB"/>
              </w:rPr>
              <w:t>Final assignment</w:t>
            </w:r>
          </w:p>
        </w:tc>
        <w:tc>
          <w:tcPr>
            <w:tcW w:w="2161" w:type="dxa"/>
            <w:shd w:val="clear" w:color="auto" w:fill="auto"/>
          </w:tcPr>
          <w:p w14:paraId="12F81D5D" w14:textId="77777777" w:rsidR="008163FD" w:rsidRPr="00721D1D" w:rsidRDefault="008163FD" w:rsidP="00BD5BD2">
            <w:pPr>
              <w:widowControl w:val="0"/>
              <w:autoSpaceDE w:val="0"/>
              <w:autoSpaceDN w:val="0"/>
              <w:adjustRightInd w:val="0"/>
              <w:rPr>
                <w:lang w:val="en-GB"/>
              </w:rPr>
            </w:pPr>
            <w:r w:rsidRPr="00721D1D">
              <w:rPr>
                <w:lang w:val="en-GB"/>
              </w:rPr>
              <w:t>45%</w:t>
            </w:r>
          </w:p>
        </w:tc>
        <w:tc>
          <w:tcPr>
            <w:tcW w:w="2693" w:type="dxa"/>
            <w:shd w:val="clear" w:color="auto" w:fill="auto"/>
          </w:tcPr>
          <w:p w14:paraId="538B3327" w14:textId="3C15A1E2" w:rsidR="008163FD" w:rsidRPr="00721D1D" w:rsidRDefault="008163FD" w:rsidP="00BD5BD2">
            <w:pPr>
              <w:widowControl w:val="0"/>
              <w:autoSpaceDE w:val="0"/>
              <w:autoSpaceDN w:val="0"/>
              <w:adjustRightInd w:val="0"/>
              <w:rPr>
                <w:lang w:val="en-GB"/>
              </w:rPr>
            </w:pPr>
            <w:r w:rsidRPr="00713503">
              <w:rPr>
                <w:lang w:val="en-GB"/>
              </w:rPr>
              <w:t xml:space="preserve">April </w:t>
            </w:r>
            <w:r w:rsidR="00090428">
              <w:rPr>
                <w:lang w:val="en-GB"/>
              </w:rPr>
              <w:t>13</w:t>
            </w:r>
            <w:r w:rsidRPr="00713503">
              <w:rPr>
                <w:vertAlign w:val="superscript"/>
                <w:lang w:val="en-GB"/>
              </w:rPr>
              <w:t>th</w:t>
            </w:r>
            <w:r w:rsidRPr="00713503">
              <w:rPr>
                <w:lang w:val="en-GB"/>
              </w:rPr>
              <w:t>, 202</w:t>
            </w:r>
            <w:r w:rsidR="002F587E">
              <w:rPr>
                <w:lang w:val="en-GB"/>
              </w:rPr>
              <w:t>3</w:t>
            </w:r>
          </w:p>
        </w:tc>
      </w:tr>
    </w:tbl>
    <w:p w14:paraId="25F283BF" w14:textId="77777777" w:rsidR="00B87E74" w:rsidRPr="000A6633" w:rsidRDefault="001C4731" w:rsidP="00F04477">
      <w:pPr>
        <w:pStyle w:val="Heading2"/>
      </w:pPr>
      <w:bookmarkStart w:id="24" w:name="_Toc12350807"/>
      <w:r w:rsidRPr="000A6633">
        <w:t>Requirement</w:t>
      </w:r>
      <w:r w:rsidR="001F3D7B" w:rsidRPr="000A6633">
        <w:t>/Assignment</w:t>
      </w:r>
      <w:r w:rsidRPr="000A6633">
        <w:t xml:space="preserve"> Details</w:t>
      </w:r>
      <w:bookmarkEnd w:id="24"/>
    </w:p>
    <w:p w14:paraId="156B23EF" w14:textId="77777777" w:rsidR="008163FD" w:rsidRDefault="008163FD">
      <w:pPr>
        <w:pStyle w:val="ListParagraph"/>
        <w:numPr>
          <w:ilvl w:val="0"/>
          <w:numId w:val="4"/>
        </w:numPr>
        <w:spacing w:after="240"/>
      </w:pPr>
      <w:r w:rsidRPr="008163FD">
        <w:rPr>
          <w:b/>
          <w:bCs/>
        </w:rPr>
        <w:t>Exploration of a practice puzzle</w:t>
      </w:r>
      <w:r w:rsidRPr="00D85389">
        <w:t xml:space="preserve"> (20%)</w:t>
      </w:r>
    </w:p>
    <w:p w14:paraId="4A4E3E72" w14:textId="77777777" w:rsidR="008163FD" w:rsidRDefault="008163FD">
      <w:pPr>
        <w:pStyle w:val="ListParagraph"/>
        <w:numPr>
          <w:ilvl w:val="1"/>
          <w:numId w:val="19"/>
        </w:numPr>
        <w:spacing w:after="240"/>
      </w:pPr>
      <w:r>
        <w:t>In this brief paper, you are expected to identify a practice puzzle of your choice from your practice or personal experience. It can be a moment of discomfort, puzzlement, confusion, or a problem that has arisen for you, or your client(s). You will describe in concrete detail what is actually happening that you find troubling. Where did it occur? Who was involved? What was involved? What led to it? Why did you find it troubling or unsettling? Why it is important?</w:t>
      </w:r>
    </w:p>
    <w:p w14:paraId="36BE8537" w14:textId="77777777" w:rsidR="008163FD" w:rsidRDefault="008163FD">
      <w:pPr>
        <w:pStyle w:val="ListParagraph"/>
        <w:numPr>
          <w:ilvl w:val="1"/>
          <w:numId w:val="19"/>
        </w:numPr>
        <w:spacing w:after="240"/>
      </w:pPr>
      <w:r>
        <w:t>“K</w:t>
      </w:r>
      <w:r w:rsidRPr="00EF340E">
        <w:t xml:space="preserve">nowing is anchored in particular places </w:t>
      </w:r>
      <w:r>
        <w:t>and particular uses” (Darville, cited in Campbell &amp; Gregor, 2002, p. 12</w:t>
      </w:r>
      <w:r w:rsidRPr="00EF340E">
        <w:t>)</w:t>
      </w:r>
      <w:r>
        <w:t>, and how an issue is known can produce possibilities or constraints. Consider: how you understand what was going on? What knowledge did you use to understand the situation? Where does this way of knowing originate? What forms of knowing are taken-for-granted? How do others involved understand what was going on? What knowledge did they draw on? At the end of the paper, write a reflection on what you noticed as you begin to explore your practice puzzle.</w:t>
      </w:r>
    </w:p>
    <w:p w14:paraId="460954BD" w14:textId="068A7B5A" w:rsidR="008163FD" w:rsidRPr="00AD1FD2" w:rsidRDefault="008163FD">
      <w:pPr>
        <w:pStyle w:val="ListParagraph"/>
        <w:numPr>
          <w:ilvl w:val="1"/>
          <w:numId w:val="19"/>
        </w:numPr>
        <w:spacing w:after="240"/>
      </w:pPr>
      <w:r w:rsidRPr="00AD1FD2">
        <w:t xml:space="preserve">The paper should be </w:t>
      </w:r>
      <w:r w:rsidRPr="001365D9">
        <w:rPr>
          <w:b/>
          <w:bCs/>
        </w:rPr>
        <w:t>4 pages double-spaced</w:t>
      </w:r>
      <w:r>
        <w:t xml:space="preserve">. It should be submitted on January </w:t>
      </w:r>
      <w:r w:rsidR="0011325B">
        <w:t>29</w:t>
      </w:r>
      <w:r w:rsidRPr="00AD1FD2">
        <w:t>,</w:t>
      </w:r>
      <w:r w:rsidR="0011325B">
        <w:t xml:space="preserve"> </w:t>
      </w:r>
      <w:r w:rsidRPr="00AD1FD2">
        <w:t>20</w:t>
      </w:r>
      <w:r>
        <w:t>2</w:t>
      </w:r>
      <w:r w:rsidR="0011325B">
        <w:t>3</w:t>
      </w:r>
      <w:r>
        <w:t xml:space="preserve">, before midnight. </w:t>
      </w:r>
    </w:p>
    <w:p w14:paraId="6F04B49E" w14:textId="77777777" w:rsidR="008163FD" w:rsidRDefault="008163FD">
      <w:pPr>
        <w:pStyle w:val="ListParagraph"/>
        <w:numPr>
          <w:ilvl w:val="1"/>
          <w:numId w:val="19"/>
        </w:numPr>
        <w:spacing w:after="240"/>
        <w:contextualSpacing w:val="0"/>
        <w:rPr>
          <w:b/>
          <w:bCs/>
        </w:rPr>
      </w:pPr>
      <w:r w:rsidRPr="007E602F">
        <w:rPr>
          <w:i/>
        </w:rPr>
        <w:lastRenderedPageBreak/>
        <w:t>Major evaluation criteria</w:t>
      </w:r>
      <w:r w:rsidRPr="007E602F">
        <w:t xml:space="preserve">: Structure and coherence; relevance; </w:t>
      </w:r>
      <w:r>
        <w:t xml:space="preserve">critical reflections of your own assumptions and knowledge; </w:t>
      </w:r>
      <w:r w:rsidRPr="007E602F">
        <w:t>and quality of communication and presentation (e.g., gramm</w:t>
      </w:r>
      <w:r>
        <w:t>ar, clarity</w:t>
      </w:r>
      <w:r w:rsidRPr="007E602F">
        <w:t>).</w:t>
      </w:r>
      <w:r>
        <w:t xml:space="preserve"> </w:t>
      </w:r>
      <w:r w:rsidRPr="001365D9">
        <w:rPr>
          <w:b/>
          <w:bCs/>
        </w:rPr>
        <w:t>Does not require references unless others’ work is used.</w:t>
      </w:r>
    </w:p>
    <w:p w14:paraId="26601127" w14:textId="77777777" w:rsidR="008A4F2F" w:rsidRPr="00A841EA" w:rsidRDefault="008A4F2F">
      <w:pPr>
        <w:pStyle w:val="ListParagraph"/>
        <w:numPr>
          <w:ilvl w:val="0"/>
          <w:numId w:val="4"/>
        </w:numPr>
        <w:spacing w:after="240"/>
      </w:pPr>
      <w:r w:rsidRPr="008A4F2F">
        <w:rPr>
          <w:b/>
          <w:bCs/>
        </w:rPr>
        <w:t>Class presentation</w:t>
      </w:r>
      <w:r>
        <w:t xml:space="preserve"> (35%)</w:t>
      </w:r>
    </w:p>
    <w:p w14:paraId="4E7EC335" w14:textId="6227E47B" w:rsidR="008A4F2F" w:rsidRPr="005E25EC" w:rsidRDefault="008A4F2F">
      <w:pPr>
        <w:pStyle w:val="ListParagraph"/>
        <w:numPr>
          <w:ilvl w:val="1"/>
          <w:numId w:val="20"/>
        </w:numPr>
        <w:spacing w:after="240"/>
        <w:rPr>
          <w:b/>
          <w:bCs/>
        </w:rPr>
      </w:pPr>
      <w:r w:rsidRPr="00B53A72">
        <w:t xml:space="preserve">Each student </w:t>
      </w:r>
      <w:r>
        <w:t xml:space="preserve">(individual/pairs/ - To Be Determined) </w:t>
      </w:r>
      <w:r w:rsidRPr="00B53A72">
        <w:t xml:space="preserve">will be responsible for giving </w:t>
      </w:r>
      <w:r>
        <w:t xml:space="preserve">one presentation based on the readings of one selected week. </w:t>
      </w:r>
      <w:r w:rsidRPr="00B53A72">
        <w:t>The presenter</w:t>
      </w:r>
      <w:r>
        <w:t>(s)</w:t>
      </w:r>
      <w:r w:rsidRPr="00B53A72">
        <w:t xml:space="preserve"> should also prepare </w:t>
      </w:r>
      <w:r>
        <w:t xml:space="preserve">a </w:t>
      </w:r>
      <w:r w:rsidRPr="00031AC6">
        <w:t>1- or 2-page summary</w:t>
      </w:r>
      <w:r>
        <w:t xml:space="preserve"> </w:t>
      </w:r>
      <w:r w:rsidRPr="005E25EC">
        <w:rPr>
          <w:b/>
          <w:bCs/>
        </w:rPr>
        <w:t>(PowerPoint slides)</w:t>
      </w:r>
      <w:r>
        <w:t xml:space="preserve"> which includes</w:t>
      </w:r>
      <w:r w:rsidRPr="00B53A72">
        <w:t xml:space="preserve"> questions to </w:t>
      </w:r>
      <w:r>
        <w:t>facilitate</w:t>
      </w:r>
      <w:r w:rsidRPr="00B53A72">
        <w:t xml:space="preserve"> class discussion</w:t>
      </w:r>
      <w:r>
        <w:t xml:space="preserve"> with the class. </w:t>
      </w:r>
      <w:r w:rsidRPr="005E25EC">
        <w:rPr>
          <w:b/>
          <w:bCs/>
        </w:rPr>
        <w:t xml:space="preserve">This is to be submitted to the instructor via A2L </w:t>
      </w:r>
      <w:r>
        <w:rPr>
          <w:b/>
          <w:bCs/>
        </w:rPr>
        <w:t xml:space="preserve">assignment drop box </w:t>
      </w:r>
      <w:r w:rsidRPr="005E25EC">
        <w:rPr>
          <w:b/>
          <w:bCs/>
        </w:rPr>
        <w:t xml:space="preserve">the day before the class. </w:t>
      </w:r>
    </w:p>
    <w:p w14:paraId="7013B160" w14:textId="77777777" w:rsidR="008A4F2F" w:rsidRDefault="008A4F2F">
      <w:pPr>
        <w:pStyle w:val="ListParagraph"/>
        <w:numPr>
          <w:ilvl w:val="1"/>
          <w:numId w:val="20"/>
        </w:numPr>
        <w:spacing w:after="240"/>
      </w:pPr>
      <w:r w:rsidRPr="00A56E22">
        <w:t xml:space="preserve">The main objective of this presentation is to share your understandings of the </w:t>
      </w:r>
      <w:r>
        <w:t xml:space="preserve">readings. For example, the </w:t>
      </w:r>
      <w:r w:rsidRPr="00A56E22">
        <w:t>main themes and arguments made by the author</w:t>
      </w:r>
      <w:r>
        <w:t>s</w:t>
      </w:r>
      <w:r w:rsidRPr="00A56E22">
        <w:t>,</w:t>
      </w:r>
      <w:r>
        <w:t xml:space="preserve"> your </w:t>
      </w:r>
      <w:r w:rsidRPr="00757F3C">
        <w:t xml:space="preserve">questions, critiques, </w:t>
      </w:r>
      <w:r>
        <w:t xml:space="preserve">tensions, </w:t>
      </w:r>
      <w:r w:rsidRPr="00757F3C">
        <w:t>and confusion (if applicable)</w:t>
      </w:r>
      <w:r>
        <w:t>,</w:t>
      </w:r>
      <w:r w:rsidRPr="00A56E22">
        <w:t xml:space="preserve"> and the</w:t>
      </w:r>
      <w:r>
        <w:t xml:space="preserve"> readings</w:t>
      </w:r>
      <w:r w:rsidRPr="00A56E22">
        <w:t xml:space="preserve"> contribute to your understanding of the course themes. Please use the readings to make connections to aspects of your practice and organizational experience</w:t>
      </w:r>
      <w:r>
        <w:t xml:space="preserve"> and provide concrete</w:t>
      </w:r>
      <w:r w:rsidRPr="00A56E22">
        <w:t xml:space="preserve"> examples. If applicable, make links to other readings. </w:t>
      </w:r>
    </w:p>
    <w:p w14:paraId="3E88AA02" w14:textId="58AF72B5" w:rsidR="008A4F2F" w:rsidRPr="005E25EC" w:rsidRDefault="008A4F2F">
      <w:pPr>
        <w:pStyle w:val="ListParagraph"/>
        <w:numPr>
          <w:ilvl w:val="1"/>
          <w:numId w:val="20"/>
        </w:numPr>
        <w:spacing w:after="240"/>
        <w:rPr>
          <w:b/>
          <w:bCs/>
        </w:rPr>
      </w:pPr>
      <w:r w:rsidRPr="00A56E22">
        <w:t xml:space="preserve">You will be leading a class discussion </w:t>
      </w:r>
      <w:r>
        <w:t>based on your critical reading of the articles. Consider: w</w:t>
      </w:r>
      <w:r w:rsidRPr="00757F3C">
        <w:t>hat is the conceptual frame used by the author</w:t>
      </w:r>
      <w:r>
        <w:t xml:space="preserve"> and </w:t>
      </w:r>
      <w:r w:rsidRPr="00713503">
        <w:t>how do they include or omit an anti-oppressive analysis</w:t>
      </w:r>
      <w:r w:rsidRPr="00757F3C">
        <w:t>? What is addressed? What is omitted? Any taken-for-granted ideas?</w:t>
      </w:r>
      <w:r>
        <w:t xml:space="preserve"> How do they further your understanding of your practice puzzle? You may base the class discussion on questions, tensions, or contradictions that emerge from the readings. </w:t>
      </w:r>
      <w:r w:rsidRPr="005E25EC">
        <w:rPr>
          <w:rFonts w:cs="Arial"/>
          <w:b/>
          <w:bCs/>
          <w:szCs w:val="24"/>
        </w:rPr>
        <w:t>Please include questions to facilitate class discussions.</w:t>
      </w:r>
    </w:p>
    <w:p w14:paraId="1BEEEB91" w14:textId="77777777" w:rsidR="008A4F2F" w:rsidRPr="001365D9" w:rsidRDefault="008A4F2F">
      <w:pPr>
        <w:pStyle w:val="ListParagraph"/>
        <w:numPr>
          <w:ilvl w:val="1"/>
          <w:numId w:val="20"/>
        </w:numPr>
        <w:spacing w:after="240"/>
        <w:contextualSpacing w:val="0"/>
      </w:pPr>
      <w:r w:rsidRPr="00A56E22">
        <w:rPr>
          <w:bCs/>
          <w:i/>
          <w:szCs w:val="28"/>
        </w:rPr>
        <w:t>Major evaluation criteria</w:t>
      </w:r>
      <w:r w:rsidRPr="00A56E22">
        <w:rPr>
          <w:bCs/>
          <w:szCs w:val="28"/>
        </w:rPr>
        <w:t>: clarity, relevance, quality of discussion questions and analysis, respect for time, and capacity to initiate and facilitate discussion.</w:t>
      </w:r>
    </w:p>
    <w:p w14:paraId="46F0750E" w14:textId="77777777" w:rsidR="008A4F2F" w:rsidRDefault="008A4F2F">
      <w:pPr>
        <w:pStyle w:val="ListParagraph"/>
        <w:numPr>
          <w:ilvl w:val="0"/>
          <w:numId w:val="4"/>
        </w:numPr>
        <w:spacing w:after="240"/>
      </w:pPr>
      <w:bookmarkStart w:id="25" w:name="_Toc12350808"/>
      <w:bookmarkStart w:id="26" w:name="_Toc12606607"/>
      <w:r w:rsidRPr="00EF743B">
        <w:t>Final paper (45%)</w:t>
      </w:r>
    </w:p>
    <w:p w14:paraId="11C765C4" w14:textId="77777777" w:rsidR="008A4F2F" w:rsidRDefault="008A4F2F">
      <w:pPr>
        <w:pStyle w:val="ListParagraph"/>
        <w:numPr>
          <w:ilvl w:val="1"/>
          <w:numId w:val="21"/>
        </w:numPr>
        <w:spacing w:after="240"/>
      </w:pPr>
      <w:r>
        <w:t xml:space="preserve">Building on assignment 1, the literature from the course, and other relevant materials (literatures, institutional documents and forms, etc.), examine how your practice puzzle is “socially organized” (Campbell &amp; Gregor). Start by providing a </w:t>
      </w:r>
      <w:r w:rsidRPr="002A1654">
        <w:rPr>
          <w:b/>
          <w:bCs/>
        </w:rPr>
        <w:t>short summary</w:t>
      </w:r>
      <w:r>
        <w:t xml:space="preserve"> of your practice puzzle. </w:t>
      </w:r>
    </w:p>
    <w:p w14:paraId="2997D537" w14:textId="77777777" w:rsidR="008A4F2F" w:rsidRDefault="008A4F2F">
      <w:pPr>
        <w:pStyle w:val="ListParagraph"/>
        <w:numPr>
          <w:ilvl w:val="1"/>
          <w:numId w:val="21"/>
        </w:numPr>
        <w:spacing w:after="240"/>
      </w:pPr>
      <w:r>
        <w:t>Identify the subject position/standpoint of your inquiry, and “explicate the ruling relations” (Campbell &amp; Gregor) embedded in and coordinating the organization of your practice puzzle.</w:t>
      </w:r>
    </w:p>
    <w:p w14:paraId="40DB5D9F" w14:textId="77777777" w:rsidR="008A4F2F" w:rsidRDefault="008A4F2F">
      <w:pPr>
        <w:pStyle w:val="ListParagraph"/>
        <w:numPr>
          <w:ilvl w:val="1"/>
          <w:numId w:val="21"/>
        </w:numPr>
        <w:spacing w:after="240"/>
      </w:pPr>
      <w:r w:rsidRPr="00952BC7">
        <w:t xml:space="preserve">Consider </w:t>
      </w:r>
      <w:r>
        <w:t xml:space="preserve">how </w:t>
      </w:r>
      <w:r w:rsidRPr="003D7E66">
        <w:t>“outside forces – people, events, div</w:t>
      </w:r>
      <w:r>
        <w:t xml:space="preserve">erse forms of organizing” (Campbell &amp; Gregor, 2002, p.60) enter into and mediate </w:t>
      </w:r>
      <w:r w:rsidRPr="003D7E66">
        <w:t>your local practice</w:t>
      </w:r>
      <w:r>
        <w:t xml:space="preserve">, </w:t>
      </w:r>
      <w:r>
        <w:lastRenderedPageBreak/>
        <w:t>whose knowledge is taken up, whose knowledge is subjugated,</w:t>
      </w:r>
      <w:r w:rsidRPr="003D7E66">
        <w:t xml:space="preserve"> </w:t>
      </w:r>
      <w:r w:rsidRPr="00952BC7">
        <w:t>whose interests are being served, whose interests are being subordinated</w:t>
      </w:r>
      <w:r>
        <w:t>.</w:t>
      </w:r>
    </w:p>
    <w:p w14:paraId="3AA370E8" w14:textId="4AC6EF6E" w:rsidR="008A4F2F" w:rsidRPr="00391E68" w:rsidRDefault="008A4F2F">
      <w:pPr>
        <w:pStyle w:val="ListParagraph"/>
        <w:numPr>
          <w:ilvl w:val="1"/>
          <w:numId w:val="21"/>
        </w:numPr>
        <w:spacing w:after="240"/>
      </w:pPr>
      <w:r w:rsidRPr="00952BC7">
        <w:t xml:space="preserve"> </w:t>
      </w:r>
      <w:r>
        <w:t>I</w:t>
      </w:r>
      <w:r w:rsidRPr="00952BC7">
        <w:t xml:space="preserve">n what ways </w:t>
      </w:r>
      <w:r>
        <w:t xml:space="preserve">are </w:t>
      </w:r>
      <w:r w:rsidRPr="00952BC7">
        <w:t>yo</w:t>
      </w:r>
      <w:r w:rsidR="00713503">
        <w:t>u,</w:t>
      </w:r>
      <w:r w:rsidRPr="00952BC7">
        <w:t xml:space="preserve"> the social worker</w:t>
      </w:r>
      <w:r w:rsidR="00713503">
        <w:t>,</w:t>
      </w:r>
      <w:r w:rsidRPr="00952BC7">
        <w:t xml:space="preserve"> located and implicated in the practice story (e.g. as an unwitting participant; a critic of the authorized view; an agent of ruling relations; an underground subversive;</w:t>
      </w:r>
      <w:r>
        <w:t xml:space="preserve"> a combination; or</w:t>
      </w:r>
      <w:r w:rsidRPr="00952BC7">
        <w:t xml:space="preserve"> in other ways?).</w:t>
      </w:r>
    </w:p>
    <w:p w14:paraId="2B2F4D73" w14:textId="77777777" w:rsidR="008A4F2F" w:rsidRPr="00F248DB" w:rsidRDefault="008A4F2F">
      <w:pPr>
        <w:pStyle w:val="ListParagraph"/>
        <w:numPr>
          <w:ilvl w:val="1"/>
          <w:numId w:val="21"/>
        </w:numPr>
        <w:spacing w:after="240"/>
      </w:pPr>
      <w:r w:rsidRPr="00AE51A2">
        <w:t>Based on your</w:t>
      </w:r>
      <w:r>
        <w:t xml:space="preserve"> examination and discovery, consider ways in which you can possibly foster practices/policies that would better serve the interests of service users and their communities, as well as the work lives of practitioners.</w:t>
      </w:r>
    </w:p>
    <w:p w14:paraId="50BAEE19" w14:textId="5BCDC837" w:rsidR="008A4F2F" w:rsidRPr="00B944C2" w:rsidRDefault="008A4F2F">
      <w:pPr>
        <w:pStyle w:val="ListParagraph"/>
        <w:numPr>
          <w:ilvl w:val="1"/>
          <w:numId w:val="21"/>
        </w:numPr>
        <w:spacing w:after="240"/>
        <w:rPr>
          <w:rFonts w:cs="Arial"/>
          <w:bCs/>
          <w:szCs w:val="24"/>
        </w:rPr>
      </w:pPr>
      <w:r w:rsidRPr="00B944C2">
        <w:rPr>
          <w:rFonts w:cs="Arial"/>
          <w:bCs/>
          <w:szCs w:val="24"/>
        </w:rPr>
        <w:t xml:space="preserve">This is an academic paper and </w:t>
      </w:r>
      <w:r w:rsidRPr="00B944C2">
        <w:rPr>
          <w:rFonts w:cs="Arial"/>
          <w:b/>
          <w:bCs/>
          <w:szCs w:val="24"/>
        </w:rPr>
        <w:t>requires references throughout</w:t>
      </w:r>
      <w:r w:rsidRPr="00B944C2">
        <w:rPr>
          <w:rFonts w:cs="Arial"/>
          <w:bCs/>
          <w:szCs w:val="24"/>
        </w:rPr>
        <w:t xml:space="preserve"> to support your critical analysis. The paper should be </w:t>
      </w:r>
      <w:r w:rsidRPr="00B944C2">
        <w:rPr>
          <w:rFonts w:cs="Arial"/>
          <w:b/>
          <w:bCs/>
          <w:szCs w:val="24"/>
        </w:rPr>
        <w:t>10</w:t>
      </w:r>
      <w:r>
        <w:rPr>
          <w:rFonts w:cs="Arial"/>
          <w:b/>
          <w:bCs/>
          <w:szCs w:val="24"/>
        </w:rPr>
        <w:t>-12</w:t>
      </w:r>
      <w:r w:rsidRPr="00B944C2">
        <w:rPr>
          <w:rFonts w:cs="Arial"/>
          <w:b/>
          <w:bCs/>
          <w:szCs w:val="24"/>
        </w:rPr>
        <w:t xml:space="preserve"> pages, double spaced</w:t>
      </w:r>
      <w:r w:rsidRPr="00B944C2">
        <w:rPr>
          <w:rFonts w:cs="Arial"/>
          <w:bCs/>
          <w:szCs w:val="24"/>
        </w:rPr>
        <w:t xml:space="preserve">, references or graphics </w:t>
      </w:r>
      <w:r w:rsidRPr="00177545">
        <w:rPr>
          <w:rFonts w:cs="Arial"/>
          <w:b/>
          <w:szCs w:val="24"/>
        </w:rPr>
        <w:t>are not</w:t>
      </w:r>
      <w:r>
        <w:rPr>
          <w:rFonts w:cs="Arial"/>
          <w:bCs/>
          <w:szCs w:val="24"/>
        </w:rPr>
        <w:t xml:space="preserve"> part of the page count</w:t>
      </w:r>
      <w:r w:rsidRPr="00B944C2">
        <w:rPr>
          <w:rFonts w:cs="Arial"/>
          <w:bCs/>
          <w:szCs w:val="24"/>
        </w:rPr>
        <w:t xml:space="preserve">. </w:t>
      </w:r>
      <w:r w:rsidRPr="00B944C2">
        <w:rPr>
          <w:rFonts w:cs="Arial"/>
          <w:b/>
          <w:bCs/>
          <w:szCs w:val="24"/>
        </w:rPr>
        <w:t xml:space="preserve">It should be submitted </w:t>
      </w:r>
      <w:r>
        <w:rPr>
          <w:rFonts w:cs="Arial"/>
          <w:b/>
          <w:bCs/>
          <w:szCs w:val="24"/>
        </w:rPr>
        <w:t>by</w:t>
      </w:r>
      <w:r w:rsidRPr="00B944C2">
        <w:rPr>
          <w:rFonts w:cs="Arial"/>
          <w:b/>
          <w:bCs/>
          <w:szCs w:val="24"/>
        </w:rPr>
        <w:t xml:space="preserve"> </w:t>
      </w:r>
      <w:r w:rsidRPr="00713503">
        <w:rPr>
          <w:rFonts w:cs="Arial"/>
          <w:b/>
          <w:bCs/>
          <w:szCs w:val="24"/>
        </w:rPr>
        <w:t xml:space="preserve">April </w:t>
      </w:r>
      <w:r w:rsidR="00090428">
        <w:rPr>
          <w:rFonts w:cs="Arial"/>
          <w:b/>
          <w:bCs/>
          <w:szCs w:val="24"/>
        </w:rPr>
        <w:t>13</w:t>
      </w:r>
      <w:r w:rsidRPr="00713503">
        <w:rPr>
          <w:rFonts w:cs="Arial"/>
          <w:b/>
          <w:bCs/>
          <w:szCs w:val="24"/>
          <w:vertAlign w:val="superscript"/>
        </w:rPr>
        <w:t>th</w:t>
      </w:r>
      <w:r w:rsidRPr="00713503">
        <w:rPr>
          <w:rFonts w:cs="Arial"/>
          <w:b/>
          <w:bCs/>
          <w:szCs w:val="24"/>
        </w:rPr>
        <w:t>, 2023,</w:t>
      </w:r>
      <w:r w:rsidRPr="00B944C2">
        <w:rPr>
          <w:rFonts w:cs="Arial"/>
          <w:b/>
          <w:bCs/>
          <w:szCs w:val="24"/>
        </w:rPr>
        <w:t xml:space="preserve"> before midnight</w:t>
      </w:r>
      <w:r w:rsidRPr="00B944C2">
        <w:rPr>
          <w:rFonts w:cs="Arial"/>
          <w:bCs/>
          <w:szCs w:val="24"/>
        </w:rPr>
        <w:t>.</w:t>
      </w:r>
    </w:p>
    <w:p w14:paraId="2E4D0D33" w14:textId="77777777" w:rsidR="008A4F2F" w:rsidRPr="00E90EC6" w:rsidRDefault="008A4F2F">
      <w:pPr>
        <w:pStyle w:val="ListParagraph"/>
        <w:numPr>
          <w:ilvl w:val="1"/>
          <w:numId w:val="21"/>
        </w:numPr>
        <w:spacing w:after="240"/>
      </w:pPr>
      <w:r w:rsidRPr="00E90EC6">
        <w:rPr>
          <w:i/>
        </w:rPr>
        <w:t>Major evaluation criteria</w:t>
      </w:r>
      <w:r w:rsidRPr="00E90EC6">
        <w:t xml:space="preserve">: Structure and coherence; relevance; </w:t>
      </w:r>
      <w:r>
        <w:t xml:space="preserve">clarity of focus, integration of ideas and readings considered in the course, quality of </w:t>
      </w:r>
      <w:r w:rsidRPr="00E90EC6">
        <w:t>analysis;</w:t>
      </w:r>
      <w:r>
        <w:t xml:space="preserve"> ability to identify potential for change;</w:t>
      </w:r>
      <w:r w:rsidRPr="00E90EC6">
        <w:t xml:space="preserve"> and quality of communication and presentation (e.g. grammar, clarity, and reference style).</w:t>
      </w:r>
    </w:p>
    <w:p w14:paraId="2250611F" w14:textId="77777777" w:rsidR="001F3D7B" w:rsidRPr="000A6633" w:rsidRDefault="001F3D7B" w:rsidP="003F0E2E">
      <w:pPr>
        <w:pStyle w:val="Heading1"/>
        <w:rPr>
          <w:lang w:val="en-GB"/>
        </w:rPr>
      </w:pPr>
      <w:r w:rsidRPr="000A6633">
        <w:rPr>
          <w:lang w:val="en-GB"/>
        </w:rPr>
        <w:t>Assignment Submission and Grading</w:t>
      </w:r>
      <w:bookmarkEnd w:id="25"/>
      <w:bookmarkEnd w:id="26"/>
    </w:p>
    <w:p w14:paraId="00AA9D16" w14:textId="77777777" w:rsidR="001F3D7B" w:rsidRPr="000A6633" w:rsidRDefault="001F3D7B" w:rsidP="00F04477">
      <w:pPr>
        <w:pStyle w:val="Heading2"/>
      </w:pPr>
      <w:bookmarkStart w:id="27" w:name="_Toc12350809"/>
      <w:r w:rsidRPr="000A6633">
        <w:t>Form and Style</w:t>
      </w:r>
      <w:bookmarkEnd w:id="27"/>
      <w:r w:rsidRPr="000A6633">
        <w:t xml:space="preserve"> </w:t>
      </w:r>
    </w:p>
    <w:p w14:paraId="6C48308D" w14:textId="77777777" w:rsidR="001F3D7B" w:rsidRPr="003C4014" w:rsidRDefault="001F3D7B">
      <w:pPr>
        <w:pStyle w:val="ListParagraph"/>
        <w:numPr>
          <w:ilvl w:val="0"/>
          <w:numId w:val="5"/>
        </w:numPr>
        <w:rPr>
          <w:b/>
          <w:color w:val="000000"/>
          <w:szCs w:val="24"/>
        </w:rPr>
      </w:pPr>
      <w:r w:rsidRPr="003C4014">
        <w:rPr>
          <w:color w:val="000000"/>
          <w:szCs w:val="24"/>
        </w:rPr>
        <w:t xml:space="preserve">Written assignments must be typed and double-spaced and submitted with a front page containing the title, student’s name, student number, and the date. Number all pages (except title page). </w:t>
      </w:r>
    </w:p>
    <w:p w14:paraId="287B8FAA" w14:textId="26EB9BE1" w:rsidR="001F3D7B" w:rsidRPr="00713503" w:rsidRDefault="001F3D7B">
      <w:pPr>
        <w:pStyle w:val="ListParagraph"/>
        <w:numPr>
          <w:ilvl w:val="0"/>
          <w:numId w:val="5"/>
        </w:numPr>
        <w:rPr>
          <w:b/>
          <w:color w:val="000000"/>
          <w:szCs w:val="24"/>
        </w:rPr>
      </w:pPr>
      <w:r w:rsidRPr="00713503">
        <w:rPr>
          <w:color w:val="000000"/>
          <w:szCs w:val="24"/>
        </w:rPr>
        <w:t xml:space="preserve">Assignments should be </w:t>
      </w:r>
      <w:r w:rsidR="008A4F2F" w:rsidRPr="00713503">
        <w:rPr>
          <w:color w:val="000000"/>
          <w:szCs w:val="24"/>
        </w:rPr>
        <w:t>submitted via Avenue To Learn</w:t>
      </w:r>
      <w:r w:rsidR="00AE189C" w:rsidRPr="00713503">
        <w:rPr>
          <w:color w:val="000000"/>
          <w:szCs w:val="24"/>
        </w:rPr>
        <w:t xml:space="preserve"> (A2L)</w:t>
      </w:r>
      <w:r w:rsidR="008A4F2F" w:rsidRPr="00713503">
        <w:rPr>
          <w:color w:val="000000"/>
          <w:szCs w:val="24"/>
        </w:rPr>
        <w:t xml:space="preserve"> </w:t>
      </w:r>
      <w:r w:rsidR="00AE189C" w:rsidRPr="00713503">
        <w:rPr>
          <w:color w:val="000000"/>
          <w:szCs w:val="24"/>
        </w:rPr>
        <w:t>Drop Box.</w:t>
      </w:r>
    </w:p>
    <w:p w14:paraId="27434759" w14:textId="77777777" w:rsidR="001F3D7B" w:rsidRPr="003C4014" w:rsidRDefault="001F3D7B">
      <w:pPr>
        <w:pStyle w:val="ListParagraph"/>
        <w:numPr>
          <w:ilvl w:val="0"/>
          <w:numId w:val="5"/>
        </w:numPr>
        <w:rPr>
          <w:b/>
          <w:color w:val="000000"/>
          <w:szCs w:val="24"/>
        </w:rPr>
      </w:pPr>
      <w:r w:rsidRPr="003C4014">
        <w:rPr>
          <w:color w:val="000000"/>
          <w:szCs w:val="24"/>
        </w:rPr>
        <w:t xml:space="preserve">Paper format must be in accordance with the current edition of American Psychological Association (APA) publication manual with particular attention paid to font size (Times-Roman 12), spacing (double spaced) and margins (minimum of 1 inch at the top, bottom, left and right of each page) as papers not meeting these requirements will not be accepted for grading. </w:t>
      </w:r>
    </w:p>
    <w:p w14:paraId="67A4D881" w14:textId="77777777" w:rsidR="008A4F2F" w:rsidRPr="008A4F2F" w:rsidRDefault="001F3D7B">
      <w:pPr>
        <w:pStyle w:val="ListParagraph"/>
        <w:numPr>
          <w:ilvl w:val="0"/>
          <w:numId w:val="5"/>
        </w:numPr>
        <w:rPr>
          <w:b/>
          <w:color w:val="000000"/>
          <w:szCs w:val="24"/>
        </w:rPr>
      </w:pPr>
      <w:r w:rsidRPr="003C4014">
        <w:rPr>
          <w:color w:val="000000"/>
          <w:szCs w:val="24"/>
        </w:rPr>
        <w:t xml:space="preserve">Students are expected to make use of relevant professional and social science literature and other bodies of knowledge in their term assignments. </w:t>
      </w:r>
      <w:r w:rsidRPr="008A4F2F">
        <w:rPr>
          <w:b/>
          <w:bCs/>
          <w:color w:val="000000"/>
          <w:szCs w:val="24"/>
        </w:rPr>
        <w:t>When submitting, please keep a spare copy of your assignments</w:t>
      </w:r>
      <w:r w:rsidRPr="003C4014">
        <w:rPr>
          <w:color w:val="000000"/>
          <w:szCs w:val="24"/>
        </w:rPr>
        <w:t>.</w:t>
      </w:r>
    </w:p>
    <w:p w14:paraId="5B14EBF6" w14:textId="4C516EC5" w:rsidR="001F3D7B" w:rsidRPr="003C4014" w:rsidRDefault="008A4F2F">
      <w:pPr>
        <w:pStyle w:val="ListParagraph"/>
        <w:numPr>
          <w:ilvl w:val="0"/>
          <w:numId w:val="5"/>
        </w:numPr>
        <w:rPr>
          <w:b/>
          <w:color w:val="000000"/>
          <w:szCs w:val="24"/>
        </w:rPr>
      </w:pPr>
      <w:r>
        <w:rPr>
          <w:color w:val="000000"/>
          <w:szCs w:val="24"/>
        </w:rPr>
        <w:t xml:space="preserve">Assignments must be submitted on the due date by 11:59pm. Students who require accommodation should communicate with the instructor in advance. Assignments submitted after the due date without a medical or other reason as previously discussed with the instructor will </w:t>
      </w:r>
      <w:r w:rsidRPr="008A4F2F">
        <w:rPr>
          <w:b/>
          <w:bCs/>
          <w:color w:val="000000"/>
          <w:szCs w:val="24"/>
        </w:rPr>
        <w:t>forfeit 5% for each overdue day</w:t>
      </w:r>
      <w:r>
        <w:rPr>
          <w:color w:val="000000"/>
          <w:szCs w:val="24"/>
        </w:rPr>
        <w:t>.</w:t>
      </w:r>
    </w:p>
    <w:p w14:paraId="5ECEE584" w14:textId="73CE824E" w:rsidR="00AE189C" w:rsidRPr="00F248DB" w:rsidRDefault="00AE189C" w:rsidP="00F04477">
      <w:pPr>
        <w:pStyle w:val="Heading2"/>
      </w:pPr>
      <w:bookmarkStart w:id="28" w:name="_Toc523468840"/>
      <w:r w:rsidRPr="00F248DB">
        <w:lastRenderedPageBreak/>
        <w:t>Avenue to Learn</w:t>
      </w:r>
      <w:bookmarkEnd w:id="28"/>
      <w:r>
        <w:t xml:space="preserve"> (A2L)</w:t>
      </w:r>
    </w:p>
    <w:p w14:paraId="598BAF3F" w14:textId="737711A5" w:rsidR="00AE189C" w:rsidRPr="00AE189C" w:rsidRDefault="00AE189C" w:rsidP="00AE189C">
      <w:pPr>
        <w:rPr>
          <w:lang w:val="en-GB"/>
        </w:rPr>
      </w:pPr>
      <w:r>
        <w:rPr>
          <w:lang w:val="en-GB"/>
        </w:rPr>
        <w:t>In this course we will be using A2L. Students should be aware that, when they access the electronic components of this course, private information such as first and last names, usernames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it with the course instructor.</w:t>
      </w:r>
    </w:p>
    <w:p w14:paraId="477949B7" w14:textId="142250E3" w:rsidR="006E5DC7" w:rsidRDefault="006E5DC7" w:rsidP="00F04477">
      <w:pPr>
        <w:pStyle w:val="Heading2"/>
      </w:pPr>
      <w:bookmarkStart w:id="29" w:name="_Toc12350811"/>
      <w:r w:rsidRPr="000A6633">
        <w:t>Submitting Assignments &amp; Grading</w:t>
      </w:r>
      <w:bookmarkEnd w:id="29"/>
      <w:r w:rsidRPr="000A6633">
        <w:t xml:space="preserve"> </w:t>
      </w:r>
    </w:p>
    <w:p w14:paraId="3CD5EB6C" w14:textId="77777777" w:rsidR="00AE189C" w:rsidRDefault="00AE189C">
      <w:pPr>
        <w:numPr>
          <w:ilvl w:val="0"/>
          <w:numId w:val="12"/>
        </w:numPr>
        <w:spacing w:after="120"/>
        <w:ind w:left="643"/>
        <w:rPr>
          <w:rFonts w:eastAsia="Calibri"/>
        </w:rPr>
      </w:pPr>
      <w:r w:rsidRPr="00FE740E">
        <w:rPr>
          <w:rFonts w:eastAsia="Calibri"/>
        </w:rPr>
        <w:t>Assignments are to be uploaded to the appropriate A</w:t>
      </w:r>
      <w:r>
        <w:rPr>
          <w:rFonts w:eastAsia="Calibri"/>
        </w:rPr>
        <w:t>2L</w:t>
      </w:r>
      <w:r w:rsidRPr="00FE740E">
        <w:rPr>
          <w:rFonts w:eastAsia="Calibri"/>
        </w:rPr>
        <w:t xml:space="preserve"> Drop Box before midnight on the date specified for submission. </w:t>
      </w:r>
    </w:p>
    <w:p w14:paraId="6B691F47" w14:textId="77777777" w:rsidR="00AE189C" w:rsidRDefault="00AE189C">
      <w:pPr>
        <w:numPr>
          <w:ilvl w:val="0"/>
          <w:numId w:val="12"/>
        </w:numPr>
        <w:spacing w:after="120"/>
        <w:ind w:left="643"/>
        <w:rPr>
          <w:rFonts w:eastAsia="Calibri"/>
        </w:rPr>
      </w:pPr>
      <w:r w:rsidRPr="00FE740E">
        <w:rPr>
          <w:rFonts w:eastAsia="Calibri"/>
        </w:rPr>
        <w:t>If you experience technical difficulties upload</w:t>
      </w:r>
      <w:r>
        <w:rPr>
          <w:rFonts w:eastAsia="Calibri"/>
        </w:rPr>
        <w:t xml:space="preserve">ing, contact McMaster e-support for Avenue to Learn (by phone </w:t>
      </w:r>
      <w:r w:rsidRPr="008D70D3">
        <w:rPr>
          <w:rFonts w:eastAsia="Calibri"/>
        </w:rPr>
        <w:t>905</w:t>
      </w:r>
      <w:r>
        <w:rPr>
          <w:rFonts w:eastAsia="Calibri"/>
        </w:rPr>
        <w:t>-</w:t>
      </w:r>
      <w:r w:rsidRPr="008D70D3">
        <w:rPr>
          <w:rFonts w:eastAsia="Calibri"/>
        </w:rPr>
        <w:t>525-9140 ext. 23757 or email</w:t>
      </w:r>
      <w:r>
        <w:rPr>
          <w:rFonts w:eastAsia="Calibri"/>
        </w:rPr>
        <w:t xml:space="preserve"> (</w:t>
      </w:r>
      <w:hyperlink r:id="rId9" w:history="1">
        <w:r w:rsidRPr="003957BD">
          <w:rPr>
            <w:rStyle w:val="Hyperlink"/>
            <w:rFonts w:eastAsia="Calibri" w:cs="Arial"/>
            <w:b/>
            <w:szCs w:val="24"/>
          </w:rPr>
          <w:t>support.avenue@cll.mcmaster.ca</w:t>
        </w:r>
      </w:hyperlink>
      <w:r>
        <w:rPr>
          <w:rFonts w:eastAsia="Calibri"/>
        </w:rPr>
        <w:t xml:space="preserve">). </w:t>
      </w:r>
      <w:r w:rsidRPr="00266E1E">
        <w:rPr>
          <w:rFonts w:eastAsia="Calibri"/>
          <w:b/>
          <w:bCs/>
        </w:rPr>
        <w:t>If the issue cannot be resolved prior to the deadline, e-mail a copy of the completed assignment to the instructor before the deadline to avoid late penalties.</w:t>
      </w:r>
      <w:r w:rsidRPr="00FE740E">
        <w:rPr>
          <w:rFonts w:eastAsia="Calibri"/>
        </w:rPr>
        <w:t xml:space="preserve"> </w:t>
      </w:r>
    </w:p>
    <w:p w14:paraId="0385BDFB" w14:textId="6B7B11DC" w:rsidR="00AE189C" w:rsidRPr="00AE189C" w:rsidRDefault="00AE189C">
      <w:pPr>
        <w:numPr>
          <w:ilvl w:val="0"/>
          <w:numId w:val="12"/>
        </w:numPr>
        <w:spacing w:after="120"/>
        <w:ind w:left="643"/>
        <w:rPr>
          <w:rFonts w:eastAsia="Calibri"/>
        </w:rPr>
      </w:pPr>
      <w:r w:rsidRPr="00AE189C">
        <w:rPr>
          <w:rFonts w:eastAsia="Calibri"/>
        </w:rPr>
        <w:t>Please upload assignments in Microsoft Word format in a single file. Title your file in the following manner, “lastname-firstname-2022</w:t>
      </w:r>
    </w:p>
    <w:p w14:paraId="115AF031" w14:textId="77777777" w:rsidR="006E5DC7" w:rsidRPr="000A6633" w:rsidRDefault="006E5DC7" w:rsidP="00F04477">
      <w:pPr>
        <w:pStyle w:val="Heading2"/>
      </w:pPr>
      <w:bookmarkStart w:id="30" w:name="_Toc12350812"/>
      <w:r w:rsidRPr="000A6633">
        <w:t>Privacy Protection</w:t>
      </w:r>
      <w:bookmarkEnd w:id="30"/>
      <w:r w:rsidRPr="000A6633">
        <w:t xml:space="preserve"> </w:t>
      </w:r>
    </w:p>
    <w:p w14:paraId="68BD3CA0" w14:textId="77777777" w:rsidR="006E5DC7" w:rsidRPr="000A6633" w:rsidRDefault="006E5DC7" w:rsidP="003C4014">
      <w:r w:rsidRPr="000A6633">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0A6633">
        <w:t>five</w:t>
      </w:r>
      <w:r w:rsidRPr="000A6633">
        <w:t xml:space="preserve"> digits of the student number as the identifying data. The following possibilities exist for return of graded materials: </w:t>
      </w:r>
    </w:p>
    <w:p w14:paraId="3ECBA223" w14:textId="77777777" w:rsidR="006E5DC7" w:rsidRPr="000A6633" w:rsidRDefault="006E5DC7">
      <w:pPr>
        <w:pStyle w:val="ListParagraph"/>
        <w:numPr>
          <w:ilvl w:val="0"/>
          <w:numId w:val="6"/>
        </w:numPr>
      </w:pPr>
      <w:r w:rsidRPr="000A6633">
        <w:t xml:space="preserve">Direct return of materials to students in class; </w:t>
      </w:r>
    </w:p>
    <w:p w14:paraId="2517F4A7" w14:textId="77777777" w:rsidR="006E5DC7" w:rsidRPr="000A6633" w:rsidRDefault="006E5DC7">
      <w:pPr>
        <w:pStyle w:val="ListParagraph"/>
        <w:numPr>
          <w:ilvl w:val="0"/>
          <w:numId w:val="6"/>
        </w:numPr>
      </w:pPr>
      <w:r w:rsidRPr="000A6633">
        <w:t xml:space="preserve">Return of materials to students during office hours; </w:t>
      </w:r>
    </w:p>
    <w:p w14:paraId="23117FA4" w14:textId="77777777" w:rsidR="006E5DC7" w:rsidRPr="000A6633" w:rsidRDefault="006E5DC7">
      <w:pPr>
        <w:pStyle w:val="ListParagraph"/>
        <w:numPr>
          <w:ilvl w:val="0"/>
          <w:numId w:val="6"/>
        </w:numPr>
      </w:pPr>
      <w:r w:rsidRPr="000A6633">
        <w:t xml:space="preserve">Students attach a stamped, self-addressed envelope with assignments for return by mail; </w:t>
      </w:r>
    </w:p>
    <w:p w14:paraId="715A694D" w14:textId="77777777" w:rsidR="006E5DC7" w:rsidRPr="000A6633" w:rsidRDefault="006E5DC7">
      <w:pPr>
        <w:pStyle w:val="ListParagraph"/>
        <w:numPr>
          <w:ilvl w:val="0"/>
          <w:numId w:val="6"/>
        </w:numPr>
      </w:pPr>
      <w:r w:rsidRPr="000A6633">
        <w:t xml:space="preserve">Submit/grade/return papers electronically. </w:t>
      </w:r>
    </w:p>
    <w:p w14:paraId="5B7B987F" w14:textId="2EB44865" w:rsidR="00AE189C" w:rsidRDefault="006E5DC7" w:rsidP="003C4014">
      <w:r w:rsidRPr="000A6633">
        <w:t xml:space="preserve">Arrangements for the return of assignments from the options above will be finalized during the first class. </w:t>
      </w:r>
    </w:p>
    <w:p w14:paraId="266F6CAA" w14:textId="77777777" w:rsidR="00AE189C" w:rsidRPr="00F248DB" w:rsidRDefault="00AE189C" w:rsidP="00F04477">
      <w:pPr>
        <w:pStyle w:val="Heading2"/>
      </w:pPr>
      <w:bookmarkStart w:id="31" w:name="_Toc523468843"/>
      <w:r w:rsidRPr="00F248DB">
        <w:lastRenderedPageBreak/>
        <w:t>Course Modification Policy</w:t>
      </w:r>
      <w:bookmarkEnd w:id="31"/>
    </w:p>
    <w:p w14:paraId="1554BAF1" w14:textId="554A0655" w:rsidR="00AE189C" w:rsidRPr="00F04477" w:rsidRDefault="00AE189C" w:rsidP="003C4014">
      <w:pPr>
        <w:rPr>
          <w:rFonts w:eastAsia="Calibri"/>
        </w:rPr>
      </w:pPr>
      <w:r>
        <w:rPr>
          <w:rFonts w:eastAsia="Calibri"/>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students to check their McMaster email and course websites weekly during the term and to note any changes.</w:t>
      </w:r>
    </w:p>
    <w:p w14:paraId="2DD004F6" w14:textId="77777777" w:rsidR="006E5DC7" w:rsidRPr="000A6633" w:rsidRDefault="00205826" w:rsidP="00F04477">
      <w:pPr>
        <w:pStyle w:val="Heading2"/>
      </w:pPr>
      <w:bookmarkStart w:id="32" w:name="_Toc12350813"/>
      <w:r w:rsidRPr="000A6633">
        <w:t>Extreme Circumstances</w:t>
      </w:r>
      <w:bookmarkEnd w:id="32"/>
    </w:p>
    <w:p w14:paraId="205B1BD9" w14:textId="77777777" w:rsidR="00205826" w:rsidRPr="000A6633" w:rsidRDefault="00205826" w:rsidP="003C4014">
      <w:pPr>
        <w:rPr>
          <w:b/>
        </w:rPr>
      </w:pPr>
      <w:r w:rsidRPr="000A6633">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0377CEE8" w14:textId="127187C1" w:rsidR="00AC5C16" w:rsidRPr="000A6633" w:rsidRDefault="003F60FC" w:rsidP="00090428">
      <w:pPr>
        <w:pStyle w:val="Heading1"/>
      </w:pPr>
      <w:bookmarkStart w:id="33" w:name="_Toc12350814"/>
      <w:bookmarkStart w:id="34" w:name="_Toc12606608"/>
      <w:r w:rsidRPr="000A6633">
        <w:t>Student Responsibilities</w:t>
      </w:r>
      <w:bookmarkEnd w:id="33"/>
      <w:bookmarkEnd w:id="34"/>
    </w:p>
    <w:p w14:paraId="26494212" w14:textId="77777777" w:rsidR="003F60FC" w:rsidRPr="000A6633" w:rsidRDefault="003F60FC">
      <w:pPr>
        <w:pStyle w:val="ListParagraph"/>
        <w:numPr>
          <w:ilvl w:val="0"/>
          <w:numId w:val="7"/>
        </w:numPr>
      </w:pPr>
      <w:r w:rsidRPr="000A6633">
        <w:t xml:space="preserve">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to return from the break on time. </w:t>
      </w:r>
    </w:p>
    <w:p w14:paraId="63787152" w14:textId="77777777" w:rsidR="003F60FC" w:rsidRPr="000A6633" w:rsidRDefault="003F60FC">
      <w:pPr>
        <w:pStyle w:val="ListParagraph"/>
        <w:numPr>
          <w:ilvl w:val="0"/>
          <w:numId w:val="7"/>
        </w:numPr>
      </w:pPr>
      <w:r w:rsidRPr="000A6633">
        <w:t>In the past</w:t>
      </w:r>
      <w:r w:rsidR="00DE499F" w:rsidRPr="000A6633">
        <w:t>,</w:t>
      </w:r>
      <w:r w:rsidRPr="000A6633">
        <w:t xml:space="preserve"> student and faculty have found that non-course related use of laptop computers and hand-held electronic devices during class to be distracting and at times disruptive. Consequently, during </w:t>
      </w:r>
      <w:r w:rsidR="00C114E6" w:rsidRPr="000A6633">
        <w:t>class,</w:t>
      </w:r>
      <w:r w:rsidRPr="000A6633">
        <w:t xml:space="preserve"> students are expected to only use such devices for taking notes and other activities directly related to the lecture or class activity taking place. </w:t>
      </w:r>
    </w:p>
    <w:p w14:paraId="1EA04D41" w14:textId="77777777" w:rsidR="00EA17D1" w:rsidRPr="00AE189C" w:rsidRDefault="00EA17D1">
      <w:pPr>
        <w:pStyle w:val="ListParagraph"/>
        <w:numPr>
          <w:ilvl w:val="0"/>
          <w:numId w:val="7"/>
        </w:numPr>
        <w:rPr>
          <w:b/>
          <w:bCs/>
          <w:color w:val="000000"/>
          <w:szCs w:val="24"/>
        </w:rPr>
      </w:pPr>
      <w:r w:rsidRPr="00AE189C">
        <w:rPr>
          <w:b/>
          <w:bCs/>
          <w:color w:val="000000"/>
          <w:szCs w:val="24"/>
        </w:rPr>
        <w:t xml:space="preserve">Please check with the instructor before using any audio or video recording devices in the classroom. </w:t>
      </w:r>
    </w:p>
    <w:p w14:paraId="06C070C3" w14:textId="77777777" w:rsidR="00853542" w:rsidRPr="000A6633" w:rsidRDefault="00853542" w:rsidP="00F04477">
      <w:pPr>
        <w:pStyle w:val="Heading2"/>
      </w:pPr>
      <w:bookmarkStart w:id="35" w:name="_Toc12350815"/>
      <w:r w:rsidRPr="000A6633">
        <w:t>Attendance</w:t>
      </w:r>
      <w:bookmarkEnd w:id="35"/>
    </w:p>
    <w:p w14:paraId="1FB29A85" w14:textId="70A3E7BE" w:rsidR="000A65DA" w:rsidRPr="00F04477" w:rsidRDefault="00AE189C" w:rsidP="006C03C8">
      <w:pPr>
        <w:rPr>
          <w:rFonts w:cs="Arial"/>
          <w:lang w:val="en-GB"/>
        </w:rPr>
      </w:pPr>
      <w:r w:rsidRPr="00B944C2">
        <w:rPr>
          <w:rFonts w:cs="Arial"/>
          <w:lang w:val="en-GB"/>
        </w:rPr>
        <w:t>Students are expected to attend all classes. If you are going to miss a class, please email the instructor as a courtesy so that we do not wait for you before starting the lectures/presentations. If you anticipate difficulty with attendance, please speak with the instructor. Missing a substantial number of classes often results in essential course requirements not being met (these must be met to pass the course).</w:t>
      </w:r>
    </w:p>
    <w:p w14:paraId="21DEA434" w14:textId="77777777" w:rsidR="003F60FC" w:rsidRPr="000A6633" w:rsidRDefault="003F60FC" w:rsidP="00F04477">
      <w:pPr>
        <w:pStyle w:val="Heading2"/>
      </w:pPr>
      <w:bookmarkStart w:id="36" w:name="_Toc12350817"/>
      <w:r w:rsidRPr="000A6633">
        <w:lastRenderedPageBreak/>
        <w:t>Academic Integrity</w:t>
      </w:r>
      <w:bookmarkEnd w:id="36"/>
      <w:r w:rsidRPr="000A6633">
        <w:t xml:space="preserve"> </w:t>
      </w:r>
    </w:p>
    <w:p w14:paraId="63E8EFED" w14:textId="1282F11A" w:rsidR="00210F2C" w:rsidRPr="00F04477" w:rsidRDefault="00121290" w:rsidP="003C4014">
      <w:r w:rsidRPr="000A6633">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0A6633">
        <w:t>dishonesty,</w:t>
      </w:r>
      <w:r w:rsidRPr="000A6633">
        <w:t xml:space="preserve"> please refer to the </w:t>
      </w:r>
      <w:hyperlink r:id="rId10" w:history="1">
        <w:r w:rsidRPr="003C4014">
          <w:rPr>
            <w:rStyle w:val="Hyperlink"/>
            <w:rFonts w:cs="Arial"/>
            <w:szCs w:val="24"/>
          </w:rPr>
          <w:t>Academic Integrity Policy</w:t>
        </w:r>
      </w:hyperlink>
    </w:p>
    <w:p w14:paraId="52650C51" w14:textId="77777777" w:rsidR="00121290" w:rsidRPr="000A6633" w:rsidRDefault="003C4014" w:rsidP="00F04477">
      <w:pPr>
        <w:spacing w:after="0"/>
        <w:rPr>
          <w:b/>
        </w:rPr>
      </w:pPr>
      <w:r>
        <w:t>T</w:t>
      </w:r>
      <w:r w:rsidR="00121290" w:rsidRPr="000A6633">
        <w:t>he following illustrates only three forms of academic dishonesty:</w:t>
      </w:r>
    </w:p>
    <w:p w14:paraId="099652F9" w14:textId="77777777" w:rsidR="00121290" w:rsidRPr="003C4014" w:rsidRDefault="00121290">
      <w:pPr>
        <w:pStyle w:val="ListParagraph"/>
        <w:numPr>
          <w:ilvl w:val="0"/>
          <w:numId w:val="8"/>
        </w:numPr>
        <w:rPr>
          <w:b/>
        </w:rPr>
      </w:pPr>
      <w:r w:rsidRPr="000A6633">
        <w:t>Plagiarism, e.g. the submission of work that is not one’s own or for which other credit has been obtained.</w:t>
      </w:r>
    </w:p>
    <w:p w14:paraId="66F9E23C" w14:textId="77777777" w:rsidR="00121290" w:rsidRPr="003C4014" w:rsidRDefault="00121290">
      <w:pPr>
        <w:pStyle w:val="ListParagraph"/>
        <w:numPr>
          <w:ilvl w:val="0"/>
          <w:numId w:val="8"/>
        </w:numPr>
        <w:rPr>
          <w:b/>
        </w:rPr>
      </w:pPr>
      <w:r w:rsidRPr="000A6633">
        <w:t>Improper collaboration in group work.</w:t>
      </w:r>
    </w:p>
    <w:p w14:paraId="1B691874" w14:textId="77777777" w:rsidR="00121290" w:rsidRPr="000A6633" w:rsidRDefault="00121290">
      <w:pPr>
        <w:pStyle w:val="ListParagraph"/>
        <w:numPr>
          <w:ilvl w:val="0"/>
          <w:numId w:val="8"/>
        </w:numPr>
      </w:pPr>
      <w:r w:rsidRPr="000A6633">
        <w:t>Copying or using unauthorized aids in tests and examinations</w:t>
      </w:r>
    </w:p>
    <w:p w14:paraId="29DBC8E6" w14:textId="77777777" w:rsidR="003B75D1" w:rsidRDefault="003B75D1" w:rsidP="00F04477">
      <w:pPr>
        <w:pStyle w:val="Heading2"/>
      </w:pPr>
      <w:bookmarkStart w:id="37" w:name="_Hlk522105905"/>
      <w:r>
        <w:t>Conduct Expectations</w:t>
      </w:r>
    </w:p>
    <w:p w14:paraId="6FB6E037" w14:textId="77777777" w:rsidR="003B75D1" w:rsidRDefault="003B75D1" w:rsidP="00DB7CB0">
      <w:r>
        <w:t xml:space="preserve">As a McMaster student, you have the right to experience, and the responsibility to demonstrate, respectful and dignified interactions within all of our living, learning and working communities. These expectations are described in the </w:t>
      </w:r>
      <w:r>
        <w:rPr>
          <w:i/>
          <w:color w:val="0000FF"/>
          <w:u w:val="single" w:color="0000FF"/>
        </w:rPr>
        <w:t>Code of Student Rights &amp; Responsibilities</w:t>
      </w:r>
      <w:r>
        <w:rPr>
          <w:i/>
          <w:color w:val="0000FF"/>
        </w:rPr>
        <w:t xml:space="preserve"> </w:t>
      </w:r>
      <w:r>
        <w:t xml:space="preserve">(the “Code”). All students share the responsibility of maintaining a positive environment for the academic and personal growth of all McMaster community members, </w:t>
      </w:r>
      <w:r>
        <w:rPr>
          <w:b/>
        </w:rPr>
        <w:t>whether in person or online</w:t>
      </w:r>
      <w:r>
        <w:t>.</w:t>
      </w:r>
    </w:p>
    <w:p w14:paraId="55C494D1" w14:textId="77777777" w:rsidR="003B75D1" w:rsidRDefault="003B75D1" w:rsidP="00DB7CB0">
      <w: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718DF30F" w14:textId="77777777" w:rsidR="003B75D1" w:rsidRDefault="003B75D1" w:rsidP="00F04477">
      <w:pPr>
        <w:pStyle w:val="Heading2"/>
      </w:pPr>
      <w:r>
        <w:t>Academic Accommodation of Students with Disabilities</w:t>
      </w:r>
    </w:p>
    <w:p w14:paraId="6DB27E2F" w14:textId="77777777" w:rsidR="003B75D1" w:rsidRDefault="003B75D1" w:rsidP="00DB7CB0">
      <w:r>
        <w:t xml:space="preserve">Students with disabilities who require academic accommodation must contact </w:t>
      </w:r>
      <w:r>
        <w:rPr>
          <w:color w:val="0000FF"/>
          <w:u w:val="single" w:color="0000FF"/>
        </w:rPr>
        <w:t>Student Accessibility Services</w:t>
      </w:r>
      <w:r>
        <w:rPr>
          <w:color w:val="0000FF"/>
        </w:rPr>
        <w:t xml:space="preserve"> </w:t>
      </w:r>
      <w:r>
        <w:t xml:space="preserve">(SAS) at 905-525-9140 ext. 28652 or </w:t>
      </w:r>
      <w:hyperlink r:id="rId11">
        <w:r>
          <w:rPr>
            <w:color w:val="0000FF"/>
            <w:u w:val="single" w:color="0000FF"/>
          </w:rPr>
          <w:t>sas@mcmaster.ca</w:t>
        </w:r>
        <w:r>
          <w:rPr>
            <w:color w:val="0000FF"/>
          </w:rPr>
          <w:t xml:space="preserve"> </w:t>
        </w:r>
      </w:hyperlink>
      <w:r>
        <w:t xml:space="preserve">to make arrangements with a Program Coordinator. For further information, consult McMaster University’s </w:t>
      </w:r>
      <w:r>
        <w:rPr>
          <w:i/>
          <w:color w:val="0000FF"/>
          <w:u w:val="single" w:color="0000FF"/>
        </w:rPr>
        <w:t>Academic Accommodation of Students with Disabilities</w:t>
      </w:r>
      <w:r>
        <w:rPr>
          <w:i/>
          <w:color w:val="0000FF"/>
        </w:rPr>
        <w:t xml:space="preserve"> </w:t>
      </w:r>
      <w:r>
        <w:t>policy.</w:t>
      </w:r>
    </w:p>
    <w:p w14:paraId="739FB51A" w14:textId="77777777" w:rsidR="000569EF" w:rsidRPr="000A6633" w:rsidRDefault="000569EF" w:rsidP="00F04477">
      <w:pPr>
        <w:pStyle w:val="Heading2"/>
      </w:pPr>
      <w:r w:rsidRPr="000A6633">
        <w:lastRenderedPageBreak/>
        <w:t>Accessibility Statement</w:t>
      </w:r>
    </w:p>
    <w:p w14:paraId="50F3932A" w14:textId="77777777" w:rsidR="008C1257" w:rsidRDefault="000569EF" w:rsidP="008C1257">
      <w:pPr>
        <w:rPr>
          <w:rFonts w:eastAsia="Calibri"/>
          <w:b/>
        </w:rPr>
      </w:pPr>
      <w:r w:rsidRPr="000A6633">
        <w:rPr>
          <w:rFonts w:eastAsia="Calibri"/>
        </w:rPr>
        <w:t>The School of Social Work recognizes that people learn and express their knowledge in different ways. We are committed to reducing barriers to accessibility in the classroom, and working towards classrooms that welcome diverse learners. If you have accessibility concerns or want to talk about your learning needs, please be in touch with the course instructor.</w:t>
      </w:r>
      <w:bookmarkStart w:id="38" w:name="_Toc12350821"/>
      <w:bookmarkEnd w:id="37"/>
    </w:p>
    <w:p w14:paraId="2B61A1AE" w14:textId="77777777" w:rsidR="008C1257" w:rsidRPr="008C1257" w:rsidRDefault="008C1257" w:rsidP="00F04477">
      <w:pPr>
        <w:pStyle w:val="Heading2"/>
      </w:pPr>
      <w:r>
        <w:t xml:space="preserve">Academic Accommodation for Religious, Indigenous or Spiritual Observances (RISO) </w:t>
      </w:r>
    </w:p>
    <w:p w14:paraId="5B844782" w14:textId="77777777" w:rsidR="008C1257" w:rsidRPr="008C1257" w:rsidRDefault="008C1257" w:rsidP="008C1257">
      <w:pPr>
        <w:widowControl w:val="0"/>
        <w:autoSpaceDE w:val="0"/>
        <w:autoSpaceDN w:val="0"/>
        <w:spacing w:before="123" w:line="242" w:lineRule="auto"/>
        <w:ind w:left="100" w:right="301"/>
        <w:rPr>
          <w:rFonts w:eastAsia="Arial Narrow" w:cs="Arial"/>
          <w:szCs w:val="24"/>
        </w:rPr>
      </w:pPr>
      <w:r w:rsidRPr="008C1257">
        <w:rPr>
          <w:rFonts w:eastAsia="Arial Narrow" w:cs="Arial"/>
          <w:szCs w:val="24"/>
        </w:rPr>
        <w:t xml:space="preserve">Students requiring academic accommodation based on religious, indigenous or spiritual observances should follow the procedures set out in the </w:t>
      </w:r>
      <w:r w:rsidRPr="008C1257">
        <w:rPr>
          <w:rFonts w:eastAsia="Arial Narrow" w:cs="Arial"/>
          <w:color w:val="0000FF"/>
          <w:szCs w:val="24"/>
          <w:u w:val="single" w:color="0000FF"/>
        </w:rPr>
        <w:t>RISO</w:t>
      </w:r>
      <w:r w:rsidRPr="008C1257">
        <w:rPr>
          <w:rFonts w:eastAsia="Arial Narrow" w:cs="Arial"/>
          <w:color w:val="0000FF"/>
          <w:szCs w:val="24"/>
        </w:rPr>
        <w:t xml:space="preserve"> </w:t>
      </w:r>
      <w:r w:rsidRPr="008C1257">
        <w:rPr>
          <w:rFonts w:eastAsia="Arial Narrow" w:cs="Arial"/>
          <w:szCs w:val="24"/>
        </w:rPr>
        <w:t xml:space="preserve">policy. Students should submit their request to their Faculty Office </w:t>
      </w:r>
      <w:r w:rsidRPr="008C1257">
        <w:rPr>
          <w:rFonts w:eastAsia="Arial Narrow" w:cs="Arial"/>
          <w:b/>
          <w:i/>
          <w:szCs w:val="24"/>
        </w:rPr>
        <w:t xml:space="preserve">normally within 10 working days </w:t>
      </w:r>
      <w:r w:rsidRPr="008C1257">
        <w:rPr>
          <w:rFonts w:eastAsia="Arial Narrow" w:cs="Arial"/>
          <w:szCs w:val="24"/>
        </w:rPr>
        <w:t xml:space="preserve">of the beginning of term in which they anticipate a need for accommodation </w:t>
      </w:r>
      <w:r w:rsidRPr="008C1257">
        <w:rPr>
          <w:rFonts w:eastAsia="Arial Narrow" w:cs="Arial"/>
          <w:szCs w:val="24"/>
          <w:u w:val="single"/>
        </w:rPr>
        <w:t>or</w:t>
      </w:r>
      <w:r w:rsidRPr="008C1257">
        <w:rPr>
          <w:rFonts w:eastAsia="Arial Narrow" w:cs="Arial"/>
          <w:szCs w:val="24"/>
        </w:rPr>
        <w:t xml:space="preserve"> to the Registrar's Office prior to their examinations. Students should also contact their instructors as soon as possible to make alternative arrangements for classes, assignments, and tests.</w:t>
      </w:r>
    </w:p>
    <w:p w14:paraId="7CB82203" w14:textId="415AE86A" w:rsidR="003F60FC" w:rsidRPr="000A6633" w:rsidRDefault="003F60FC" w:rsidP="00F04477">
      <w:pPr>
        <w:pStyle w:val="Heading2"/>
      </w:pPr>
      <w:r w:rsidRPr="000A6633">
        <w:t>E-mail Communication Policy</w:t>
      </w:r>
      <w:bookmarkEnd w:id="38"/>
      <w:r w:rsidRPr="000A6633">
        <w:t xml:space="preserve"> </w:t>
      </w:r>
    </w:p>
    <w:p w14:paraId="3EFDBA7C" w14:textId="77777777" w:rsidR="008C1257" w:rsidRDefault="00F439A1" w:rsidP="008C1257">
      <w:bookmarkStart w:id="39" w:name="_Hlk522105948"/>
      <w:r w:rsidRPr="000A6633">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bookmarkStart w:id="40" w:name="_Hlk522106028"/>
      <w:bookmarkEnd w:id="39"/>
    </w:p>
    <w:p w14:paraId="26E80861" w14:textId="77777777" w:rsidR="008C1257" w:rsidRPr="008C1257" w:rsidRDefault="008C1257" w:rsidP="00F04477">
      <w:pPr>
        <w:pStyle w:val="Heading2"/>
      </w:pPr>
      <w:r w:rsidRPr="008C1257">
        <w:t>Copyright and Recording</w:t>
      </w:r>
    </w:p>
    <w:p w14:paraId="2E964935" w14:textId="77777777" w:rsidR="008C1257" w:rsidRPr="008C1257" w:rsidRDefault="008C1257" w:rsidP="008C1257">
      <w:pPr>
        <w:widowControl w:val="0"/>
        <w:autoSpaceDE w:val="0"/>
        <w:autoSpaceDN w:val="0"/>
        <w:spacing w:before="124" w:line="242" w:lineRule="auto"/>
        <w:ind w:left="100" w:right="476"/>
        <w:rPr>
          <w:rFonts w:eastAsia="Arial Narrow" w:cs="Arial"/>
          <w:szCs w:val="24"/>
        </w:rPr>
      </w:pPr>
      <w:r w:rsidRPr="008C1257">
        <w:rPr>
          <w:rFonts w:eastAsia="Arial Narrow" w:cs="Arial"/>
          <w:szCs w:val="24"/>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8C1257">
        <w:rPr>
          <w:rFonts w:eastAsia="Arial Narrow" w:cs="Arial"/>
          <w:b/>
          <w:szCs w:val="24"/>
        </w:rPr>
        <w:t xml:space="preserve">including lectures </w:t>
      </w:r>
      <w:r w:rsidRPr="008C1257">
        <w:rPr>
          <w:rFonts w:eastAsia="Arial Narrow" w:cs="Arial"/>
          <w:szCs w:val="24"/>
        </w:rPr>
        <w:t>by University instructors</w:t>
      </w:r>
    </w:p>
    <w:p w14:paraId="024EEC51" w14:textId="6A8B7FF2" w:rsidR="008C1257" w:rsidRPr="00D865C9" w:rsidRDefault="008C1257" w:rsidP="00D865C9">
      <w:pPr>
        <w:widowControl w:val="0"/>
        <w:autoSpaceDE w:val="0"/>
        <w:autoSpaceDN w:val="0"/>
        <w:spacing w:before="159" w:line="244" w:lineRule="auto"/>
        <w:ind w:left="100" w:right="258"/>
        <w:rPr>
          <w:rFonts w:eastAsia="Arial Narrow" w:cs="Arial"/>
          <w:szCs w:val="24"/>
        </w:rPr>
      </w:pPr>
      <w:r w:rsidRPr="008C1257">
        <w:rPr>
          <w:rFonts w:eastAsia="Arial Narrow" w:cs="Arial"/>
          <w:szCs w:val="24"/>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28CC7DEC" w14:textId="1033CF7F" w:rsidR="00DE6FAF" w:rsidRDefault="00DE6FAF" w:rsidP="003F0E2E">
      <w:pPr>
        <w:pStyle w:val="Heading1"/>
      </w:pPr>
      <w:bookmarkStart w:id="41" w:name="_Toc12350823"/>
      <w:bookmarkStart w:id="42" w:name="_Toc12606609"/>
      <w:bookmarkEnd w:id="40"/>
      <w:r w:rsidRPr="00410B29">
        <w:lastRenderedPageBreak/>
        <w:t>Course Weekly Topics and Readings</w:t>
      </w:r>
      <w:bookmarkEnd w:id="41"/>
      <w:bookmarkEnd w:id="42"/>
    </w:p>
    <w:p w14:paraId="7B9FB73B" w14:textId="6C4F2B7C" w:rsidR="00AE189C" w:rsidRPr="00AE189C" w:rsidRDefault="00AE189C" w:rsidP="00AE189C">
      <w:pPr>
        <w:rPr>
          <w:i/>
          <w:iCs/>
        </w:rPr>
      </w:pPr>
      <w:r w:rsidRPr="00AE189C">
        <w:rPr>
          <w:i/>
          <w:iCs/>
        </w:rPr>
        <w:t xml:space="preserve">Note: This lecture schedule is based upon current university and public health guidelines and may be subject to changes during the term. Any changes to the schedule or course delivery will be communicated on the course announcements section on Avenue to Learn. Please check the announcements prior to attending class. </w:t>
      </w:r>
    </w:p>
    <w:p w14:paraId="48079DCE" w14:textId="1DAB495E" w:rsidR="00DE6FAF" w:rsidRPr="00410B29" w:rsidRDefault="003D468A" w:rsidP="00F04477">
      <w:pPr>
        <w:pStyle w:val="Heading2"/>
      </w:pPr>
      <w:bookmarkStart w:id="43" w:name="_Toc12350824"/>
      <w:r w:rsidRPr="00410B29">
        <w:t xml:space="preserve">Week 1: </w:t>
      </w:r>
      <w:bookmarkEnd w:id="43"/>
      <w:r w:rsidR="00AE189C">
        <w:t>January 12, 2023</w:t>
      </w:r>
    </w:p>
    <w:p w14:paraId="673DB4DC" w14:textId="229689A6" w:rsidR="003D468A" w:rsidRDefault="003D468A" w:rsidP="00581116">
      <w:pPr>
        <w:pStyle w:val="Heading3"/>
      </w:pPr>
      <w:r w:rsidRPr="00410B29">
        <w:t>Topics:</w:t>
      </w:r>
    </w:p>
    <w:p w14:paraId="12830E15" w14:textId="77777777" w:rsidR="00AE189C" w:rsidRDefault="00AE189C">
      <w:pPr>
        <w:pStyle w:val="ListParagraph"/>
        <w:numPr>
          <w:ilvl w:val="0"/>
          <w:numId w:val="13"/>
        </w:numPr>
      </w:pPr>
      <w:r>
        <w:t xml:space="preserve">Welcome &amp; introductions </w:t>
      </w:r>
    </w:p>
    <w:p w14:paraId="48C005BC" w14:textId="5DC1C56E" w:rsidR="00AE189C" w:rsidRDefault="00AE189C">
      <w:pPr>
        <w:pStyle w:val="ListParagraph"/>
        <w:numPr>
          <w:ilvl w:val="0"/>
          <w:numId w:val="13"/>
        </w:numPr>
      </w:pPr>
      <w:r>
        <w:t>Overview of the course, including assignments</w:t>
      </w:r>
    </w:p>
    <w:p w14:paraId="6DBFF2F0" w14:textId="0644B517" w:rsidR="00AE189C" w:rsidRDefault="00AE189C">
      <w:pPr>
        <w:pStyle w:val="ListParagraph"/>
        <w:numPr>
          <w:ilvl w:val="0"/>
          <w:numId w:val="13"/>
        </w:numPr>
      </w:pPr>
      <w:r>
        <w:t xml:space="preserve">Introductory Exercise </w:t>
      </w:r>
    </w:p>
    <w:p w14:paraId="09A8C96D" w14:textId="14E3F1A0" w:rsidR="00AE189C" w:rsidRDefault="00AE189C">
      <w:pPr>
        <w:pStyle w:val="ListParagraph"/>
        <w:numPr>
          <w:ilvl w:val="0"/>
          <w:numId w:val="13"/>
        </w:numPr>
      </w:pPr>
      <w:r>
        <w:t>Sign up for class presentations</w:t>
      </w:r>
    </w:p>
    <w:p w14:paraId="07B9386E" w14:textId="4F250F41" w:rsidR="00AE189C" w:rsidRPr="003D468A" w:rsidRDefault="00AE189C">
      <w:pPr>
        <w:pStyle w:val="ListParagraph"/>
        <w:numPr>
          <w:ilvl w:val="0"/>
          <w:numId w:val="13"/>
        </w:numPr>
      </w:pPr>
      <w:r>
        <w:t>Hope and expectations</w:t>
      </w:r>
    </w:p>
    <w:p w14:paraId="2B44230E" w14:textId="77777777" w:rsidR="00AE189C" w:rsidRDefault="00AE189C">
      <w:pPr>
        <w:pStyle w:val="ListParagraph"/>
        <w:numPr>
          <w:ilvl w:val="0"/>
          <w:numId w:val="13"/>
        </w:numPr>
      </w:pPr>
      <w:r>
        <w:t>Tensions in contemporary social work practice</w:t>
      </w:r>
    </w:p>
    <w:p w14:paraId="7862E6E9" w14:textId="77777777" w:rsidR="00AE189C" w:rsidRDefault="003D468A" w:rsidP="00581116">
      <w:pPr>
        <w:pStyle w:val="Heading3"/>
      </w:pPr>
      <w:r w:rsidRPr="00AE189C">
        <w:t>Readings</w:t>
      </w:r>
      <w:r w:rsidRPr="00410B29">
        <w:t>:</w:t>
      </w:r>
      <w:bookmarkStart w:id="44" w:name="_Toc12350825"/>
    </w:p>
    <w:p w14:paraId="646E8206" w14:textId="1E3D7A65" w:rsidR="00F72857" w:rsidRPr="00DB7CB0" w:rsidRDefault="00AE189C" w:rsidP="00DB7CB0">
      <w:pPr>
        <w:pStyle w:val="ListParagraph"/>
        <w:numPr>
          <w:ilvl w:val="0"/>
          <w:numId w:val="23"/>
        </w:numPr>
        <w:contextualSpacing w:val="0"/>
      </w:pPr>
      <w:r w:rsidRPr="00DB7CB0">
        <w:t>Aronson, J. &amp; Sammon, S. (2000). Practice Amid</w:t>
      </w:r>
      <w:r w:rsidRPr="00DB7CB0">
        <w:rPr>
          <w:b/>
        </w:rPr>
        <w:t xml:space="preserve"> </w:t>
      </w:r>
      <w:r w:rsidRPr="00DB7CB0">
        <w:t xml:space="preserve">Social Service Cuts and Restructuring: Working with the Contradictions of ‘Small Victories’. Canadian Social Work Review, 17(2), 169-187. </w:t>
      </w:r>
    </w:p>
    <w:p w14:paraId="69213FC1" w14:textId="378D3535" w:rsidR="000B1661" w:rsidRPr="00DB7CB0" w:rsidRDefault="00F72857" w:rsidP="00DB7CB0">
      <w:pPr>
        <w:pStyle w:val="ListParagraph"/>
        <w:numPr>
          <w:ilvl w:val="0"/>
          <w:numId w:val="23"/>
        </w:numPr>
        <w:contextualSpacing w:val="0"/>
        <w:rPr>
          <w:lang w:val="en-US"/>
        </w:rPr>
      </w:pPr>
      <w:r w:rsidRPr="00713503">
        <w:t>Peters, C. M. (2011). Social work and juvenile probation: historical tensions and conte</w:t>
      </w:r>
      <w:r w:rsidRPr="0011325B">
        <w:t>mporary convergences. </w:t>
      </w:r>
      <w:r w:rsidRPr="00DB7CB0">
        <w:rPr>
          <w:i/>
          <w:iCs/>
        </w:rPr>
        <w:t>Social Work</w:t>
      </w:r>
      <w:r w:rsidRPr="0011325B">
        <w:t>, </w:t>
      </w:r>
      <w:r w:rsidRPr="00DB7CB0">
        <w:rPr>
          <w:i/>
          <w:iCs/>
        </w:rPr>
        <w:t>56</w:t>
      </w:r>
      <w:r w:rsidRPr="0011325B">
        <w:t>(4), 355+. </w:t>
      </w:r>
      <w:hyperlink r:id="rId12" w:history="1">
        <w:r w:rsidR="0011325B" w:rsidRPr="00DB7CB0">
          <w:rPr>
            <w:rStyle w:val="Hyperlink"/>
            <w:color w:val="auto"/>
          </w:rPr>
          <w:t>https://link.gale.com/apps/doc/A274026001/AONE?u=ocul_mcmaster&amp;sid=bookmark-AONE&amp;xid=27469b89</w:t>
        </w:r>
      </w:hyperlink>
    </w:p>
    <w:p w14:paraId="2D005904" w14:textId="4E136808" w:rsidR="00AE189C" w:rsidRDefault="00AE189C" w:rsidP="00DB7CB0">
      <w:pPr>
        <w:pStyle w:val="ListParagraph"/>
        <w:numPr>
          <w:ilvl w:val="0"/>
          <w:numId w:val="23"/>
        </w:numPr>
        <w:contextualSpacing w:val="0"/>
      </w:pPr>
      <w:r w:rsidRPr="00AE189C">
        <w:t>Carey, M. (2016). Journey’s End? From residual service to newer forms of pathology, risk aversion and abandonment in social work with older people. Journal of Social Work, 16(3), 344-361.</w:t>
      </w:r>
    </w:p>
    <w:p w14:paraId="3D4CFDDA" w14:textId="77777777" w:rsidR="00AE189C" w:rsidRDefault="00AE189C" w:rsidP="00581116">
      <w:pPr>
        <w:pStyle w:val="Heading3"/>
      </w:pPr>
      <w:r w:rsidRPr="00AE189C">
        <w:t>Additional Suggested Readings</w:t>
      </w:r>
      <w:r>
        <w:t>:</w:t>
      </w:r>
    </w:p>
    <w:p w14:paraId="4DB37946" w14:textId="0B7AC9F5" w:rsidR="00AE189C" w:rsidRDefault="00AE189C" w:rsidP="00DB7CB0">
      <w:pPr>
        <w:pStyle w:val="ListParagraph"/>
        <w:numPr>
          <w:ilvl w:val="0"/>
          <w:numId w:val="24"/>
        </w:numPr>
        <w:contextualSpacing w:val="0"/>
      </w:pPr>
      <w:r w:rsidRPr="008117EA">
        <w:t xml:space="preserve">Wilder Craig, R. (2007). A Day in the Life of a Hospital Social Worker. </w:t>
      </w:r>
      <w:r w:rsidRPr="00DB7CB0">
        <w:rPr>
          <w:i/>
        </w:rPr>
        <w:t>Qualitative Social Work, 6</w:t>
      </w:r>
      <w:r>
        <w:t>(4),</w:t>
      </w:r>
      <w:r w:rsidRPr="008117EA">
        <w:t xml:space="preserve"> 431-446.</w:t>
      </w:r>
    </w:p>
    <w:p w14:paraId="598ACFA6" w14:textId="1C07B6C4" w:rsidR="00AE189C" w:rsidRPr="00DB7CB0" w:rsidRDefault="00A15015" w:rsidP="00DB7CB0">
      <w:pPr>
        <w:pStyle w:val="ListParagraph"/>
        <w:numPr>
          <w:ilvl w:val="0"/>
          <w:numId w:val="24"/>
        </w:numPr>
        <w:contextualSpacing w:val="0"/>
        <w:rPr>
          <w:rFonts w:eastAsia="Times New Roman"/>
          <w:lang w:val="en-US"/>
        </w:rPr>
      </w:pPr>
      <w:r w:rsidRPr="00713503">
        <w:t>Rankine, M. (2019). The internal/external debate: The tensions within social work supervision. </w:t>
      </w:r>
      <w:r w:rsidRPr="00DB7CB0">
        <w:rPr>
          <w:i/>
          <w:iCs/>
        </w:rPr>
        <w:t>Aotearoa New Zealand Social Work</w:t>
      </w:r>
      <w:r w:rsidRPr="00713503">
        <w:t>, </w:t>
      </w:r>
      <w:r w:rsidRPr="00DB7CB0">
        <w:rPr>
          <w:i/>
          <w:iCs/>
        </w:rPr>
        <w:t>31</w:t>
      </w:r>
      <w:r w:rsidRPr="00713503">
        <w:t>(3), 32+. https://link.gale.com/apps/doc/A673188025/AONE?u=ocul_mcmaster&amp;sid=bookmark-AONE&amp;xid=512ed0a5</w:t>
      </w:r>
    </w:p>
    <w:p w14:paraId="323C27BB" w14:textId="6B1ABBB0" w:rsidR="003D468A" w:rsidRPr="00410B29" w:rsidRDefault="008C1E64" w:rsidP="00F04477">
      <w:pPr>
        <w:pStyle w:val="Heading2"/>
      </w:pPr>
      <w:r w:rsidRPr="00410B29">
        <w:lastRenderedPageBreak/>
        <w:t>Week 2</w:t>
      </w:r>
      <w:r w:rsidR="003D468A" w:rsidRPr="00410B29">
        <w:t xml:space="preserve">: </w:t>
      </w:r>
      <w:bookmarkEnd w:id="44"/>
      <w:r w:rsidR="00A15015">
        <w:t>January 19, 2023</w:t>
      </w:r>
    </w:p>
    <w:p w14:paraId="48CCF1BF" w14:textId="77777777" w:rsidR="003D468A" w:rsidRPr="00410B29" w:rsidRDefault="003D468A" w:rsidP="00581116">
      <w:pPr>
        <w:pStyle w:val="Heading3"/>
      </w:pPr>
      <w:r w:rsidRPr="00410B29">
        <w:t>Topics:</w:t>
      </w:r>
    </w:p>
    <w:p w14:paraId="4BACD9CF" w14:textId="00014F5C" w:rsidR="00A15015" w:rsidRPr="00713503" w:rsidRDefault="00A15015">
      <w:pPr>
        <w:pStyle w:val="ListParagraph"/>
        <w:numPr>
          <w:ilvl w:val="0"/>
          <w:numId w:val="14"/>
        </w:numPr>
        <w:rPr>
          <w:rFonts w:cs="Arial"/>
          <w:b/>
          <w:szCs w:val="24"/>
        </w:rPr>
      </w:pPr>
      <w:r w:rsidRPr="00713503">
        <w:rPr>
          <w:rFonts w:cs="Arial"/>
          <w:szCs w:val="24"/>
        </w:rPr>
        <w:t xml:space="preserve">Tensions in social work practice – work organizations </w:t>
      </w:r>
    </w:p>
    <w:p w14:paraId="43DBE167" w14:textId="02680FFF" w:rsidR="00A15015" w:rsidRPr="00DB7CB0" w:rsidRDefault="00A15015" w:rsidP="00713503">
      <w:pPr>
        <w:pStyle w:val="ListParagraph"/>
        <w:numPr>
          <w:ilvl w:val="0"/>
          <w:numId w:val="14"/>
        </w:numPr>
        <w:rPr>
          <w:rFonts w:cs="Arial"/>
          <w:szCs w:val="24"/>
        </w:rPr>
      </w:pPr>
      <w:r w:rsidRPr="00B944C2">
        <w:rPr>
          <w:rFonts w:cs="Arial"/>
          <w:szCs w:val="24"/>
        </w:rPr>
        <w:t xml:space="preserve">Regulation of practice: Institutional Ethnography - day to day practices and making </w:t>
      </w:r>
      <w:r>
        <w:rPr>
          <w:rFonts w:cs="Arial"/>
          <w:szCs w:val="24"/>
        </w:rPr>
        <w:t>social relations</w:t>
      </w:r>
      <w:r w:rsidRPr="00B944C2">
        <w:rPr>
          <w:rFonts w:cs="Arial"/>
          <w:szCs w:val="24"/>
        </w:rPr>
        <w:t xml:space="preserve"> visible</w:t>
      </w:r>
    </w:p>
    <w:p w14:paraId="73FD408B" w14:textId="6D3A564B" w:rsidR="00713503" w:rsidRPr="00713503" w:rsidRDefault="003D468A" w:rsidP="00DB7CB0">
      <w:pPr>
        <w:pStyle w:val="Heading3"/>
      </w:pPr>
      <w:r w:rsidRPr="00A15015">
        <w:t>Readings</w:t>
      </w:r>
      <w:r w:rsidRPr="00410B29">
        <w:t>:</w:t>
      </w:r>
    </w:p>
    <w:p w14:paraId="578DF303" w14:textId="77777777" w:rsidR="00A15015" w:rsidRPr="00DB7CB0" w:rsidRDefault="00A15015" w:rsidP="00DB7CB0">
      <w:pPr>
        <w:pStyle w:val="ListParagraph"/>
        <w:numPr>
          <w:ilvl w:val="0"/>
          <w:numId w:val="25"/>
        </w:numPr>
        <w:contextualSpacing w:val="0"/>
        <w:rPr>
          <w:color w:val="000000"/>
        </w:rPr>
      </w:pPr>
      <w:bookmarkStart w:id="45" w:name="_Toc12350826"/>
      <w:r w:rsidRPr="00DB7CB0">
        <w:rPr>
          <w:color w:val="000000"/>
        </w:rPr>
        <w:t xml:space="preserve">Kearney, G.P., Corman, M.K., Hart, N.D., Johnston J.L. &amp;  Gormley, G.J. (2019). Why institutional ethnography? Why now? Institutional ethnography in health professions education. </w:t>
      </w:r>
      <w:r w:rsidRPr="00DB7CB0">
        <w:rPr>
          <w:i/>
          <w:color w:val="000000"/>
        </w:rPr>
        <w:t>Perspect Med Educ</w:t>
      </w:r>
      <w:r w:rsidRPr="00DB7CB0">
        <w:rPr>
          <w:color w:val="000000"/>
        </w:rPr>
        <w:t>., 8:17–24.</w:t>
      </w:r>
    </w:p>
    <w:p w14:paraId="7BB0B053" w14:textId="1BE14EF9" w:rsidR="00A15015" w:rsidRPr="000B1661" w:rsidRDefault="00A15015" w:rsidP="00DB7CB0">
      <w:pPr>
        <w:pStyle w:val="ListParagraph"/>
        <w:numPr>
          <w:ilvl w:val="0"/>
          <w:numId w:val="25"/>
        </w:numPr>
        <w:contextualSpacing w:val="0"/>
      </w:pPr>
      <w:r w:rsidRPr="00DB7CB0">
        <w:rPr>
          <w:rFonts w:cs="Arial"/>
          <w:color w:val="000000"/>
          <w:szCs w:val="24"/>
        </w:rPr>
        <w:t xml:space="preserve">Ion, A. (2020). Keeping secrets, disclosing health information: </w:t>
      </w:r>
      <w:r w:rsidR="000B1661" w:rsidRPr="00DB7CB0">
        <w:rPr>
          <w:rFonts w:cs="Arial"/>
          <w:color w:val="000000"/>
          <w:szCs w:val="24"/>
        </w:rPr>
        <w:t xml:space="preserve">an </w:t>
      </w:r>
      <w:r w:rsidRPr="00DB7CB0">
        <w:rPr>
          <w:rFonts w:cs="Arial"/>
          <w:color w:val="000000"/>
          <w:szCs w:val="24"/>
        </w:rPr>
        <w:t xml:space="preserve">institutional ethnography of </w:t>
      </w:r>
      <w:r w:rsidRPr="00DB7CB0">
        <w:rPr>
          <w:rFonts w:cs="Arial"/>
          <w:szCs w:val="24"/>
        </w:rPr>
        <w:t xml:space="preserve">the social organisation of perinatal care for women living with HIV in Canada. </w:t>
      </w:r>
      <w:r w:rsidRPr="00DB7CB0">
        <w:rPr>
          <w:rFonts w:cs="Arial"/>
          <w:i/>
          <w:szCs w:val="24"/>
        </w:rPr>
        <w:t>Culture, Health &amp; Sexual</w:t>
      </w:r>
      <w:r w:rsidRPr="00DB7CB0">
        <w:rPr>
          <w:rFonts w:cs="Arial"/>
          <w:szCs w:val="24"/>
        </w:rPr>
        <w:t>ity, 22, 4, 429-443.</w:t>
      </w:r>
    </w:p>
    <w:p w14:paraId="4469521E" w14:textId="2A1BB52B" w:rsidR="00A15015" w:rsidRPr="000B1661" w:rsidRDefault="00A15015" w:rsidP="00DB7CB0">
      <w:pPr>
        <w:pStyle w:val="ListParagraph"/>
        <w:numPr>
          <w:ilvl w:val="0"/>
          <w:numId w:val="25"/>
        </w:numPr>
        <w:contextualSpacing w:val="0"/>
      </w:pPr>
      <w:r w:rsidRPr="000B1661">
        <w:t xml:space="preserve">Campbell, M. &amp; Gregor, F. (2002). Theory “in” everyday life. In M. Campbell &amp; G. Gregor (Eds.), </w:t>
      </w:r>
      <w:r w:rsidRPr="00DB7CB0">
        <w:rPr>
          <w:i/>
        </w:rPr>
        <w:t xml:space="preserve">Mapping Social Relations: A Primer in Doing Institutional Ethnography </w:t>
      </w:r>
      <w:r w:rsidRPr="000B1661">
        <w:t>(pp.27-44). Aurora, ON: Garamond Press.</w:t>
      </w:r>
    </w:p>
    <w:p w14:paraId="0401FC0E" w14:textId="70B3BDF1" w:rsidR="005C0A9D" w:rsidRPr="000B1661" w:rsidRDefault="005C0A9D" w:rsidP="00DB7CB0">
      <w:pPr>
        <w:pStyle w:val="ListParagraph"/>
        <w:numPr>
          <w:ilvl w:val="0"/>
          <w:numId w:val="25"/>
        </w:numPr>
        <w:contextualSpacing w:val="0"/>
      </w:pPr>
      <w:r w:rsidRPr="00DB7CB0">
        <w:rPr>
          <w:rFonts w:ascii="Helvetica" w:hAnsi="Helvetica" w:cs="Helvetica"/>
          <w:shd w:val="clear" w:color="auto" w:fill="FFFFFF"/>
        </w:rPr>
        <w:t>Joseph, A. J. (2021). Simulating the Other in Social Work Pedagogy: Pathologising the Oppressed through Neoliberal/Colonial Practice Teaching. </w:t>
      </w:r>
      <w:r w:rsidRPr="00DB7CB0">
        <w:rPr>
          <w:rFonts w:ascii="Helvetica" w:hAnsi="Helvetica" w:cs="Helvetica"/>
          <w:i/>
          <w:iCs/>
          <w:shd w:val="clear" w:color="auto" w:fill="FFFFFF"/>
        </w:rPr>
        <w:t>The British Journal of Social Work</w:t>
      </w:r>
      <w:r w:rsidRPr="00DB7CB0">
        <w:rPr>
          <w:rFonts w:ascii="Helvetica" w:hAnsi="Helvetica" w:cs="Helvetica"/>
          <w:shd w:val="clear" w:color="auto" w:fill="FFFFFF"/>
        </w:rPr>
        <w:t>, </w:t>
      </w:r>
      <w:r w:rsidRPr="00DB7CB0">
        <w:rPr>
          <w:rFonts w:ascii="Helvetica" w:hAnsi="Helvetica" w:cs="Helvetica"/>
          <w:i/>
          <w:iCs/>
          <w:shd w:val="clear" w:color="auto" w:fill="FFFFFF"/>
        </w:rPr>
        <w:t>51</w:t>
      </w:r>
      <w:r w:rsidRPr="00DB7CB0">
        <w:rPr>
          <w:rFonts w:ascii="Helvetica" w:hAnsi="Helvetica" w:cs="Helvetica"/>
          <w:shd w:val="clear" w:color="auto" w:fill="FFFFFF"/>
        </w:rPr>
        <w:t>(4), 1408–1424. https://doi.org/10.1093/bjsw/bcab048</w:t>
      </w:r>
    </w:p>
    <w:p w14:paraId="40CA9981" w14:textId="710BB9DB" w:rsidR="00713503" w:rsidRPr="00713503" w:rsidRDefault="00A15015" w:rsidP="00DB7CB0">
      <w:pPr>
        <w:pStyle w:val="Heading3"/>
      </w:pPr>
      <w:r w:rsidRPr="00A15015">
        <w:t>Additional Suggested Readings</w:t>
      </w:r>
      <w:r>
        <w:t>:</w:t>
      </w:r>
    </w:p>
    <w:p w14:paraId="60AF9A7A" w14:textId="77777777" w:rsidR="00A15015" w:rsidRDefault="00A15015" w:rsidP="00DB7CB0">
      <w:pPr>
        <w:pStyle w:val="ListParagraph"/>
        <w:numPr>
          <w:ilvl w:val="0"/>
          <w:numId w:val="26"/>
        </w:numPr>
        <w:contextualSpacing w:val="0"/>
      </w:pPr>
      <w:r w:rsidRPr="008117EA">
        <w:t xml:space="preserve">Campbell, M. and Gregor, F. (2002). </w:t>
      </w:r>
      <w:r w:rsidRPr="00DB7CB0">
        <w:rPr>
          <w:i/>
        </w:rPr>
        <w:t>Mapping Social Relations: A Primer in Doing Institutional Ethnography</w:t>
      </w:r>
      <w:r>
        <w:t xml:space="preserve"> </w:t>
      </w:r>
      <w:r w:rsidRPr="00DB7CB0">
        <w:rPr>
          <w:b/>
        </w:rPr>
        <w:t>(pp. 45-50)</w:t>
      </w:r>
      <w:r w:rsidRPr="008117EA">
        <w:t>. Aurora</w:t>
      </w:r>
      <w:r>
        <w:t>, ON: Garamond Press</w:t>
      </w:r>
      <w:r w:rsidRPr="008117EA">
        <w:t>.</w:t>
      </w:r>
    </w:p>
    <w:p w14:paraId="4BC61B34" w14:textId="77777777" w:rsidR="00A15015" w:rsidRPr="00DB7CB0" w:rsidRDefault="00A15015" w:rsidP="00DB7CB0">
      <w:pPr>
        <w:pStyle w:val="ListParagraph"/>
        <w:numPr>
          <w:ilvl w:val="0"/>
          <w:numId w:val="26"/>
        </w:numPr>
        <w:contextualSpacing w:val="0"/>
        <w:rPr>
          <w:color w:val="000000"/>
        </w:rPr>
      </w:pPr>
      <w:r w:rsidRPr="00DB7CB0">
        <w:rPr>
          <w:color w:val="000000"/>
        </w:rPr>
        <w:t xml:space="preserve">Gregory, M. &amp; Margaret Holloway. (2005). Language and the shaping of Social Work. </w:t>
      </w:r>
      <w:r w:rsidRPr="00DB7CB0">
        <w:rPr>
          <w:i/>
          <w:color w:val="000000"/>
        </w:rPr>
        <w:t>British Journal of Social Work, 35</w:t>
      </w:r>
      <w:r w:rsidRPr="00DB7CB0">
        <w:rPr>
          <w:color w:val="000000"/>
        </w:rPr>
        <w:t>(1), 37-53</w:t>
      </w:r>
    </w:p>
    <w:p w14:paraId="5084F8B5" w14:textId="50C001A3" w:rsidR="00A15015" w:rsidRPr="00DB7CB0" w:rsidRDefault="00A15015" w:rsidP="00DB7CB0">
      <w:pPr>
        <w:pStyle w:val="ListParagraph"/>
        <w:numPr>
          <w:ilvl w:val="0"/>
          <w:numId w:val="26"/>
        </w:numPr>
        <w:contextualSpacing w:val="0"/>
      </w:pPr>
      <w:r>
        <w:t>Cowden, S. &amp;</w:t>
      </w:r>
      <w:r w:rsidRPr="008117EA">
        <w:t xml:space="preserve"> Singh, G. (2007). The ‘User’: Friend, foe or fetish? A critical exploration of user involvement in health and social care. </w:t>
      </w:r>
      <w:r w:rsidRPr="00DB7CB0">
        <w:rPr>
          <w:i/>
        </w:rPr>
        <w:t>Critical Social Policy, 27</w:t>
      </w:r>
      <w:r w:rsidRPr="008117EA">
        <w:t>(1): 5-23</w:t>
      </w:r>
    </w:p>
    <w:p w14:paraId="2865232B" w14:textId="089DF871" w:rsidR="003D468A" w:rsidRPr="00410B29" w:rsidRDefault="008C1E64" w:rsidP="00F04477">
      <w:pPr>
        <w:pStyle w:val="Heading2"/>
      </w:pPr>
      <w:r w:rsidRPr="00410B29">
        <w:t>Week 3</w:t>
      </w:r>
      <w:r w:rsidR="003D468A" w:rsidRPr="00410B29">
        <w:t xml:space="preserve">: </w:t>
      </w:r>
      <w:bookmarkEnd w:id="45"/>
      <w:r w:rsidR="00A15015">
        <w:t>January 26</w:t>
      </w:r>
      <w:r w:rsidR="000B1661">
        <w:t>, 2023</w:t>
      </w:r>
    </w:p>
    <w:p w14:paraId="4B0300D0" w14:textId="35A666F1" w:rsidR="003D468A" w:rsidRDefault="003D468A" w:rsidP="00581116">
      <w:pPr>
        <w:pStyle w:val="Heading3"/>
      </w:pPr>
      <w:r w:rsidRPr="00410B29">
        <w:t>Topics:</w:t>
      </w:r>
    </w:p>
    <w:p w14:paraId="4BC7FBB9" w14:textId="6FC72D25" w:rsidR="00E33656" w:rsidRPr="00E33656" w:rsidRDefault="00E33656">
      <w:pPr>
        <w:pStyle w:val="ListParagraph"/>
        <w:numPr>
          <w:ilvl w:val="3"/>
          <w:numId w:val="6"/>
        </w:numPr>
      </w:pPr>
      <w:r>
        <w:t>At ground level: Service users’ and practitioner’s experiences</w:t>
      </w:r>
    </w:p>
    <w:p w14:paraId="4752AA79" w14:textId="2F0EA703" w:rsidR="00713503" w:rsidRPr="00713503" w:rsidRDefault="003D468A" w:rsidP="00DB7CB0">
      <w:pPr>
        <w:pStyle w:val="Heading3"/>
      </w:pPr>
      <w:r w:rsidRPr="00410B29">
        <w:lastRenderedPageBreak/>
        <w:t>Readings:</w:t>
      </w:r>
    </w:p>
    <w:p w14:paraId="69AB0AD5" w14:textId="6029F4A1" w:rsidR="00713503" w:rsidRPr="00DB7CB0" w:rsidRDefault="00E33656" w:rsidP="00DB7CB0">
      <w:pPr>
        <w:pStyle w:val="ListParagraph"/>
        <w:numPr>
          <w:ilvl w:val="0"/>
          <w:numId w:val="27"/>
        </w:numPr>
        <w:contextualSpacing w:val="0"/>
        <w:rPr>
          <w:rFonts w:cs="Arial"/>
        </w:rPr>
      </w:pPr>
      <w:r w:rsidRPr="00DB7CB0">
        <w:rPr>
          <w:rFonts w:cs="Arial"/>
        </w:rPr>
        <w:t xml:space="preserve">Garrett, P.M. (2016). Questioning Tales of ‘Ordinary Magic’: ‘Resilience’ and Neo-Liberal Reasoning. </w:t>
      </w:r>
      <w:r w:rsidRPr="00DB7CB0">
        <w:rPr>
          <w:rFonts w:cs="Arial"/>
          <w:i/>
        </w:rPr>
        <w:t>British Journal of Social Work</w:t>
      </w:r>
      <w:r w:rsidRPr="00DB7CB0">
        <w:rPr>
          <w:rFonts w:cs="Arial"/>
        </w:rPr>
        <w:t>, 46, 1909–1925.</w:t>
      </w:r>
    </w:p>
    <w:p w14:paraId="32B9250A" w14:textId="77777777" w:rsidR="005C0A9D" w:rsidRPr="001759FA" w:rsidRDefault="005C0A9D" w:rsidP="00DB7CB0">
      <w:pPr>
        <w:pStyle w:val="ListParagraph"/>
        <w:numPr>
          <w:ilvl w:val="0"/>
          <w:numId w:val="27"/>
        </w:numPr>
        <w:contextualSpacing w:val="0"/>
      </w:pPr>
      <w:r w:rsidRPr="001759FA">
        <w:t xml:space="preserve">Liebenberg, L., Ungar, M. and Ikeda, J. (2015). Neo-Liberalism and Responsibilisation in the Discourse of Social Service Workers. </w:t>
      </w:r>
      <w:r w:rsidRPr="00DB7CB0">
        <w:rPr>
          <w:i/>
        </w:rPr>
        <w:t>British Journal of Social Work</w:t>
      </w:r>
      <w:r w:rsidRPr="001759FA">
        <w:t xml:space="preserve"> (2015) 45, 1006–1021. </w:t>
      </w:r>
    </w:p>
    <w:p w14:paraId="38ADECAA" w14:textId="4F6B36EF" w:rsidR="005C0A9D" w:rsidRPr="00DB7CB0" w:rsidRDefault="006E2C33" w:rsidP="00DB7CB0">
      <w:pPr>
        <w:pStyle w:val="ListParagraph"/>
        <w:numPr>
          <w:ilvl w:val="0"/>
          <w:numId w:val="27"/>
        </w:numPr>
        <w:contextualSpacing w:val="0"/>
        <w:rPr>
          <w:color w:val="000000" w:themeColor="text1"/>
        </w:rPr>
      </w:pPr>
      <w:r w:rsidRPr="00DB7CB0">
        <w:rPr>
          <w:rFonts w:ascii="Helvetica" w:hAnsi="Helvetica" w:cs="Helvetica"/>
          <w:color w:val="000000" w:themeColor="text1"/>
          <w:sz w:val="23"/>
          <w:szCs w:val="23"/>
          <w:shd w:val="clear" w:color="auto" w:fill="FFFFFF"/>
        </w:rPr>
        <w:t>Brown, C. (2021). Critical Clinical Social Work and the Neoliberal Constraints on Social Justice in Mental Health. </w:t>
      </w:r>
      <w:r w:rsidRPr="00DB7CB0">
        <w:rPr>
          <w:rFonts w:ascii="Helvetica" w:hAnsi="Helvetica" w:cs="Helvetica"/>
          <w:i/>
          <w:iCs/>
          <w:color w:val="000000" w:themeColor="text1"/>
          <w:sz w:val="23"/>
          <w:szCs w:val="23"/>
          <w:shd w:val="clear" w:color="auto" w:fill="FFFFFF"/>
        </w:rPr>
        <w:t>Research on Social Work Practice</w:t>
      </w:r>
      <w:r w:rsidRPr="00DB7CB0">
        <w:rPr>
          <w:rFonts w:ascii="Helvetica" w:hAnsi="Helvetica" w:cs="Helvetica"/>
          <w:color w:val="000000" w:themeColor="text1"/>
          <w:sz w:val="23"/>
          <w:szCs w:val="23"/>
          <w:shd w:val="clear" w:color="auto" w:fill="FFFFFF"/>
        </w:rPr>
        <w:t>, </w:t>
      </w:r>
      <w:r w:rsidRPr="00DB7CB0">
        <w:rPr>
          <w:rFonts w:ascii="Helvetica" w:hAnsi="Helvetica" w:cs="Helvetica"/>
          <w:i/>
          <w:iCs/>
          <w:color w:val="000000" w:themeColor="text1"/>
          <w:sz w:val="23"/>
          <w:szCs w:val="23"/>
          <w:shd w:val="clear" w:color="auto" w:fill="FFFFFF"/>
        </w:rPr>
        <w:t>31</w:t>
      </w:r>
      <w:r w:rsidRPr="00DB7CB0">
        <w:rPr>
          <w:rFonts w:ascii="Helvetica" w:hAnsi="Helvetica" w:cs="Helvetica"/>
          <w:color w:val="000000" w:themeColor="text1"/>
          <w:sz w:val="23"/>
          <w:szCs w:val="23"/>
          <w:shd w:val="clear" w:color="auto" w:fill="FFFFFF"/>
        </w:rPr>
        <w:t xml:space="preserve">(6), 644–652. </w:t>
      </w:r>
      <w:hyperlink r:id="rId13" w:history="1">
        <w:r w:rsidRPr="00DB7CB0">
          <w:rPr>
            <w:rStyle w:val="Hyperlink"/>
            <w:rFonts w:ascii="Helvetica" w:hAnsi="Helvetica" w:cs="Helvetica"/>
            <w:color w:val="000000" w:themeColor="text1"/>
            <w:sz w:val="23"/>
            <w:szCs w:val="23"/>
            <w:shd w:val="clear" w:color="auto" w:fill="FFFFFF"/>
          </w:rPr>
          <w:t>https://doi.org/10.1177/1049731520984531</w:t>
        </w:r>
      </w:hyperlink>
    </w:p>
    <w:p w14:paraId="57A2189C" w14:textId="449ABCD3" w:rsidR="00713503" w:rsidRPr="00DB7CB0" w:rsidRDefault="006E2C33" w:rsidP="00DB7CB0">
      <w:pPr>
        <w:pStyle w:val="ListParagraph"/>
        <w:numPr>
          <w:ilvl w:val="0"/>
          <w:numId w:val="27"/>
        </w:numPr>
        <w:contextualSpacing w:val="0"/>
        <w:rPr>
          <w:rFonts w:ascii="Helvetica" w:hAnsi="Helvetica" w:cs="Helvetica"/>
          <w:sz w:val="23"/>
          <w:szCs w:val="23"/>
          <w:u w:val="single"/>
          <w:shd w:val="clear" w:color="auto" w:fill="FFFFFF"/>
        </w:rPr>
      </w:pPr>
      <w:r w:rsidRPr="00DB7CB0">
        <w:rPr>
          <w:rFonts w:ascii="Helvetica" w:hAnsi="Helvetica" w:cs="Helvetica"/>
          <w:sz w:val="23"/>
          <w:szCs w:val="23"/>
          <w:shd w:val="clear" w:color="auto" w:fill="FFFFFF"/>
        </w:rPr>
        <w:t>McKenzie, C. (2020). LGBTQ + community organizations under neoliberalism in Ontario, Canada: Contradictions and disconnects. </w:t>
      </w:r>
      <w:r w:rsidRPr="00DB7CB0">
        <w:rPr>
          <w:rFonts w:ascii="Helvetica" w:hAnsi="Helvetica" w:cs="Helvetica"/>
          <w:i/>
          <w:iCs/>
          <w:sz w:val="23"/>
          <w:szCs w:val="23"/>
          <w:shd w:val="clear" w:color="auto" w:fill="FFFFFF"/>
        </w:rPr>
        <w:t>Journal of Gay &amp; Lesbian Social Services</w:t>
      </w:r>
      <w:r w:rsidRPr="00DB7CB0">
        <w:rPr>
          <w:rFonts w:ascii="Helvetica" w:hAnsi="Helvetica" w:cs="Helvetica"/>
          <w:sz w:val="23"/>
          <w:szCs w:val="23"/>
          <w:shd w:val="clear" w:color="auto" w:fill="FFFFFF"/>
        </w:rPr>
        <w:t>, </w:t>
      </w:r>
      <w:r w:rsidRPr="00DB7CB0">
        <w:rPr>
          <w:rFonts w:ascii="Helvetica" w:hAnsi="Helvetica" w:cs="Helvetica"/>
          <w:i/>
          <w:iCs/>
          <w:sz w:val="23"/>
          <w:szCs w:val="23"/>
          <w:shd w:val="clear" w:color="auto" w:fill="FFFFFF"/>
        </w:rPr>
        <w:t>32</w:t>
      </w:r>
      <w:r w:rsidRPr="00DB7CB0">
        <w:rPr>
          <w:rFonts w:ascii="Helvetica" w:hAnsi="Helvetica" w:cs="Helvetica"/>
          <w:sz w:val="23"/>
          <w:szCs w:val="23"/>
          <w:shd w:val="clear" w:color="auto" w:fill="FFFFFF"/>
        </w:rPr>
        <w:t xml:space="preserve">(2), 240–260. </w:t>
      </w:r>
      <w:hyperlink r:id="rId14" w:history="1">
        <w:r w:rsidRPr="00DB7CB0">
          <w:rPr>
            <w:rStyle w:val="Hyperlink"/>
            <w:rFonts w:ascii="Helvetica" w:hAnsi="Helvetica" w:cs="Helvetica"/>
            <w:color w:val="auto"/>
            <w:sz w:val="23"/>
            <w:szCs w:val="23"/>
            <w:shd w:val="clear" w:color="auto" w:fill="FFFFFF"/>
          </w:rPr>
          <w:t>https://doi.org/10.1080/10538720.2020.1728459</w:t>
        </w:r>
      </w:hyperlink>
    </w:p>
    <w:p w14:paraId="53836D62" w14:textId="7A643A46" w:rsidR="00713503" w:rsidRDefault="006E2C33" w:rsidP="00DB7CB0">
      <w:pPr>
        <w:pStyle w:val="Heading3"/>
      </w:pPr>
      <w:r w:rsidRPr="0011325B">
        <w:t>Additional Suggested Readings:</w:t>
      </w:r>
    </w:p>
    <w:p w14:paraId="65719C2F" w14:textId="6EF81AC7" w:rsidR="006E2C33" w:rsidRPr="006E2C33" w:rsidRDefault="006E2C33" w:rsidP="00DB7CB0">
      <w:pPr>
        <w:pStyle w:val="ListParagraph"/>
        <w:numPr>
          <w:ilvl w:val="0"/>
          <w:numId w:val="28"/>
        </w:numPr>
      </w:pPr>
      <w:r w:rsidRPr="001F5B46">
        <w:t xml:space="preserve">Pulkingham, J. Fuller, S. &amp; Kershaw, P. (2010). Lone motherhood, welfare reform and active citizen subjectivity. </w:t>
      </w:r>
      <w:r w:rsidRPr="00DB7CB0">
        <w:rPr>
          <w:i/>
        </w:rPr>
        <w:t>Critical Social Policy, 30</w:t>
      </w:r>
      <w:r w:rsidRPr="001F5B46">
        <w:t>(2)</w:t>
      </w:r>
      <w:r>
        <w:t>,</w:t>
      </w:r>
      <w:r w:rsidRPr="001F5B46">
        <w:t xml:space="preserve"> 267–29</w:t>
      </w:r>
      <w:r>
        <w:t>1.</w:t>
      </w:r>
    </w:p>
    <w:p w14:paraId="2CA6823E" w14:textId="3E71C5CA" w:rsidR="003D468A" w:rsidRPr="00410B29" w:rsidRDefault="008C1E64" w:rsidP="00F04477">
      <w:pPr>
        <w:pStyle w:val="Heading2"/>
      </w:pPr>
      <w:bookmarkStart w:id="46" w:name="_Toc12350827"/>
      <w:r w:rsidRPr="00410B29">
        <w:t>Week 4</w:t>
      </w:r>
      <w:r w:rsidR="003D468A" w:rsidRPr="00410B29">
        <w:t xml:space="preserve">: </w:t>
      </w:r>
      <w:bookmarkEnd w:id="46"/>
      <w:r w:rsidR="006E2C33">
        <w:t>February 2, 2023</w:t>
      </w:r>
    </w:p>
    <w:p w14:paraId="0ADF58AC" w14:textId="77777777" w:rsidR="003D468A" w:rsidRPr="00410B29" w:rsidRDefault="003D468A" w:rsidP="00581116">
      <w:pPr>
        <w:pStyle w:val="Heading3"/>
      </w:pPr>
      <w:r w:rsidRPr="00410B29">
        <w:t>Topics:</w:t>
      </w:r>
    </w:p>
    <w:p w14:paraId="435BDD34" w14:textId="2DC94CF7" w:rsidR="003D468A" w:rsidRPr="00713503" w:rsidRDefault="006E2C33">
      <w:pPr>
        <w:pStyle w:val="ListParagraph"/>
        <w:numPr>
          <w:ilvl w:val="6"/>
          <w:numId w:val="6"/>
        </w:numPr>
        <w:rPr>
          <w:b/>
        </w:rPr>
      </w:pPr>
      <w:r>
        <w:t>Tensions in social work practice – positioning practitioners</w:t>
      </w:r>
    </w:p>
    <w:p w14:paraId="7DD7BA88" w14:textId="3245063C" w:rsidR="00713503" w:rsidRPr="00713503" w:rsidRDefault="003D468A" w:rsidP="00DB7CB0">
      <w:pPr>
        <w:pStyle w:val="Heading3"/>
      </w:pPr>
      <w:r w:rsidRPr="00410B29">
        <w:t>Readings:</w:t>
      </w:r>
    </w:p>
    <w:p w14:paraId="424C65A1" w14:textId="1D0CFF75" w:rsidR="00713503" w:rsidRPr="00DB7CB0" w:rsidRDefault="006E2C33" w:rsidP="00DB7CB0">
      <w:pPr>
        <w:pStyle w:val="ListParagraph"/>
        <w:numPr>
          <w:ilvl w:val="0"/>
          <w:numId w:val="28"/>
        </w:numPr>
        <w:contextualSpacing w:val="0"/>
      </w:pPr>
      <w:bookmarkStart w:id="47" w:name="_Toc12350828"/>
      <w:r w:rsidRPr="00DB7CB0">
        <w:t xml:space="preserve">Smith, K. (2011). Occupied Spaces: Unmapping Standardized Assessments in Health and Social Service Organizations. In D. Baines (Ed.), </w:t>
      </w:r>
      <w:r w:rsidRPr="00DB7CB0">
        <w:rPr>
          <w:i/>
        </w:rPr>
        <w:t>Doing Anti-oppressive Practice: Social Justice Social Work</w:t>
      </w:r>
      <w:r w:rsidRPr="00DB7CB0">
        <w:t xml:space="preserve"> (pp. 197-213).  Halifax, Fernwood. </w:t>
      </w:r>
    </w:p>
    <w:p w14:paraId="454D1A62" w14:textId="16B0EA8F" w:rsidR="00713503" w:rsidRPr="00DB7CB0" w:rsidRDefault="006E2C33" w:rsidP="00DB7CB0">
      <w:pPr>
        <w:pStyle w:val="ListParagraph"/>
        <w:numPr>
          <w:ilvl w:val="0"/>
          <w:numId w:val="28"/>
        </w:numPr>
        <w:contextualSpacing w:val="0"/>
      </w:pPr>
      <w:r w:rsidRPr="00DB7CB0">
        <w:t xml:space="preserve">Pentaraki, M. (2017). ‘I Am in a Constant State of Insecurity Trying to Make Ends Meet, like Our Service Users’: Shared Austerity Reality between Social Workers and Service Users—Towards a Preliminary Conceptualization. </w:t>
      </w:r>
      <w:r w:rsidRPr="00DB7CB0">
        <w:rPr>
          <w:i/>
        </w:rPr>
        <w:t>British Journal of Social Work, 47</w:t>
      </w:r>
      <w:r w:rsidRPr="00DB7CB0">
        <w:t>(4), 1245–1261.</w:t>
      </w:r>
    </w:p>
    <w:p w14:paraId="59378940" w14:textId="111C7170" w:rsidR="00DB7CB0" w:rsidRDefault="006E2C33" w:rsidP="002C5B8A">
      <w:pPr>
        <w:pStyle w:val="ListParagraph"/>
        <w:numPr>
          <w:ilvl w:val="0"/>
          <w:numId w:val="28"/>
        </w:numPr>
        <w:contextualSpacing w:val="0"/>
      </w:pPr>
      <w:r w:rsidRPr="006E2C33">
        <w:t xml:space="preserve">Baines, D., Charlesworth, S., Cunningham, I. &amp; Dassinger, J. (2012). Self-monitoring, self-blaming, self-sacrificing workers: Gendered managerialism in the non-profit sector. </w:t>
      </w:r>
      <w:r w:rsidRPr="00DB7CB0">
        <w:rPr>
          <w:i/>
        </w:rPr>
        <w:t>Women's Studies International Forum, 35</w:t>
      </w:r>
      <w:r w:rsidRPr="006E2C33">
        <w:t>(5), 362–371</w:t>
      </w:r>
    </w:p>
    <w:bookmarkEnd w:id="47"/>
    <w:p w14:paraId="322A9485" w14:textId="743642DE" w:rsidR="004F0E0E" w:rsidRPr="00DB7CB0" w:rsidRDefault="004F0E0E" w:rsidP="00DB7CB0">
      <w:pPr>
        <w:pStyle w:val="ListParagraph"/>
        <w:numPr>
          <w:ilvl w:val="0"/>
          <w:numId w:val="28"/>
        </w:numPr>
        <w:rPr>
          <w:rFonts w:cs="Arial"/>
        </w:rPr>
      </w:pPr>
      <w:r w:rsidRPr="00DB7CB0">
        <w:rPr>
          <w:rFonts w:cs="Arial"/>
          <w:color w:val="111111"/>
          <w:shd w:val="clear" w:color="auto" w:fill="FFFFFF"/>
        </w:rPr>
        <w:lastRenderedPageBreak/>
        <w:t>Badwall, H. (2015). Colonial Encounters: Racialized Social Workers Negotiating Professional Scripts of Whiteness. </w:t>
      </w:r>
      <w:r w:rsidRPr="00DB7CB0">
        <w:rPr>
          <w:rFonts w:cs="Arial"/>
          <w:i/>
          <w:iCs/>
          <w:color w:val="111111"/>
          <w:shd w:val="clear" w:color="auto" w:fill="FFFFFF"/>
        </w:rPr>
        <w:t>Intersectionalities: A Global Journal Of Social Work Analysis, Research, Polity, And Practice, 3</w:t>
      </w:r>
      <w:r w:rsidRPr="00DB7CB0">
        <w:rPr>
          <w:rFonts w:cs="Arial"/>
          <w:color w:val="111111"/>
          <w:shd w:val="clear" w:color="auto" w:fill="FFFFFF"/>
        </w:rPr>
        <w:t>(1), 1–23. Retrieved from </w:t>
      </w:r>
      <w:r w:rsidR="0011325B" w:rsidRPr="0011325B">
        <w:t>https://journals.library.mun.ca/ojs/index.php/IJ/article/view/996/1004</w:t>
      </w:r>
    </w:p>
    <w:p w14:paraId="219E87DD" w14:textId="644097A1" w:rsidR="002C5B8A" w:rsidRDefault="004F0E0E" w:rsidP="00DB7CB0">
      <w:pPr>
        <w:pStyle w:val="Heading3"/>
      </w:pPr>
      <w:r w:rsidRPr="004F0E0E">
        <w:t>Additional Suggested Readings</w:t>
      </w:r>
      <w:r w:rsidRPr="00A5361D">
        <w:t xml:space="preserve">: </w:t>
      </w:r>
    </w:p>
    <w:p w14:paraId="5B6F4E98" w14:textId="1D05F1A7" w:rsidR="004F0E0E" w:rsidRDefault="004F0E0E" w:rsidP="00DB7CB0">
      <w:pPr>
        <w:pStyle w:val="ListParagraph"/>
        <w:numPr>
          <w:ilvl w:val="0"/>
          <w:numId w:val="28"/>
        </w:numPr>
      </w:pPr>
      <w:r w:rsidRPr="007B146C">
        <w:t xml:space="preserve">Miller, C. &amp; Hoggett, P. (2006). The Obsession with Outputs: Over Regulation and the Impact on the Emotional Identities of Public Service Professionals. </w:t>
      </w:r>
      <w:r w:rsidRPr="00DB7CB0">
        <w:rPr>
          <w:i/>
        </w:rPr>
        <w:t>International Journal on Work Organization and Emotion, 1</w:t>
      </w:r>
      <w:r w:rsidRPr="007B146C">
        <w:t>(4), 366-378</w:t>
      </w:r>
    </w:p>
    <w:p w14:paraId="6A25C904" w14:textId="241F56E9" w:rsidR="004F0E0E" w:rsidRPr="004F0E0E" w:rsidRDefault="004F0E0E" w:rsidP="00DB7CB0">
      <w:pPr>
        <w:pStyle w:val="Heading2"/>
        <w:rPr>
          <w:rFonts w:eastAsia="Calibri"/>
          <w:highlight w:val="yellow"/>
          <w:lang w:val="en-CA"/>
        </w:rPr>
      </w:pPr>
      <w:r w:rsidRPr="004F0E0E">
        <w:t>Week 5: February 9, 2023</w:t>
      </w:r>
    </w:p>
    <w:p w14:paraId="773A47E0" w14:textId="77777777" w:rsidR="008C1E64" w:rsidRPr="00410B29" w:rsidRDefault="008C1E64" w:rsidP="00581116">
      <w:pPr>
        <w:pStyle w:val="Heading3"/>
      </w:pPr>
      <w:r w:rsidRPr="00410B29">
        <w:t>Topics:</w:t>
      </w:r>
    </w:p>
    <w:p w14:paraId="00B4EC09" w14:textId="29A5FF1C" w:rsidR="008C1E64" w:rsidRPr="002C5B8A" w:rsidRDefault="00B32FFB">
      <w:pPr>
        <w:pStyle w:val="ListParagraph"/>
        <w:numPr>
          <w:ilvl w:val="0"/>
          <w:numId w:val="15"/>
        </w:numPr>
        <w:rPr>
          <w:b/>
        </w:rPr>
      </w:pPr>
      <w:r w:rsidRPr="002C5B8A">
        <w:t>(Re)-</w:t>
      </w:r>
      <w:r w:rsidR="004F0E0E" w:rsidRPr="002C5B8A">
        <w:t>Examining trauma in social service organizations</w:t>
      </w:r>
      <w:r w:rsidRPr="002C5B8A">
        <w:t xml:space="preserve"> through anti-oppression and anti-racism</w:t>
      </w:r>
    </w:p>
    <w:p w14:paraId="6038A8CA" w14:textId="725FC66E" w:rsidR="00237CAC" w:rsidRPr="002C5B8A" w:rsidRDefault="00237CAC">
      <w:pPr>
        <w:pStyle w:val="ListParagraph"/>
        <w:numPr>
          <w:ilvl w:val="0"/>
          <w:numId w:val="15"/>
        </w:numPr>
        <w:rPr>
          <w:b/>
        </w:rPr>
      </w:pPr>
      <w:r w:rsidRPr="002C5B8A">
        <w:t>Guest Speaker</w:t>
      </w:r>
      <w:r w:rsidR="00B2428E" w:rsidRPr="002C5B8A">
        <w:t xml:space="preserve"> TBC</w:t>
      </w:r>
      <w:r w:rsidRPr="002C5B8A">
        <w:t xml:space="preserve">: </w:t>
      </w:r>
      <w:hyperlink r:id="rId15" w:history="1">
        <w:r w:rsidRPr="002C5B8A">
          <w:rPr>
            <w:rStyle w:val="Hyperlink"/>
          </w:rPr>
          <w:t>Keishia Facey (she/her)</w:t>
        </w:r>
      </w:hyperlink>
    </w:p>
    <w:p w14:paraId="16A619D7" w14:textId="0E9994B3" w:rsidR="002C5B8A" w:rsidRPr="002C5B8A" w:rsidRDefault="008C1E64" w:rsidP="00DB7CB0">
      <w:pPr>
        <w:pStyle w:val="Heading3"/>
      </w:pPr>
      <w:r w:rsidRPr="002C5B8A">
        <w:t>Readings:</w:t>
      </w:r>
    </w:p>
    <w:p w14:paraId="6307E773" w14:textId="34EA4B67" w:rsidR="002C5B8A" w:rsidRPr="00DB7CB0" w:rsidRDefault="00B32FFB" w:rsidP="00DB7CB0">
      <w:pPr>
        <w:pStyle w:val="ListParagraph"/>
        <w:numPr>
          <w:ilvl w:val="0"/>
          <w:numId w:val="28"/>
        </w:numPr>
        <w:contextualSpacing w:val="0"/>
        <w:rPr>
          <w:color w:val="000000" w:themeColor="text1"/>
        </w:rPr>
      </w:pPr>
      <w:r w:rsidRPr="002C5B8A">
        <w:t>Hardy, K. V. (2013). Healing the Hidden Wounds of Racial Trauma. Reclaiming Children and Youth, 22(1), 24-28</w:t>
      </w:r>
      <w:r w:rsidR="0011325B">
        <w:t xml:space="preserve"> </w:t>
      </w:r>
      <w:r w:rsidR="0011325B" w:rsidRPr="0011325B">
        <w:t>Retrieved from https://static1.squarespace.com/static/545cdfcce4b0a64725b9f65a/t/54da3451e4b0ac9bd1d1cd30/1423586385564/Healing.pdf</w:t>
      </w:r>
    </w:p>
    <w:p w14:paraId="150AA313" w14:textId="1B5B86FC" w:rsidR="002C5B8A" w:rsidRPr="00DB7CB0" w:rsidRDefault="00B32FFB" w:rsidP="00DB7CB0">
      <w:pPr>
        <w:pStyle w:val="ListParagraph"/>
        <w:numPr>
          <w:ilvl w:val="0"/>
          <w:numId w:val="28"/>
        </w:numPr>
        <w:contextualSpacing w:val="0"/>
        <w:rPr>
          <w:rFonts w:cs="Arial"/>
          <w:color w:val="000000" w:themeColor="text1"/>
          <w:sz w:val="23"/>
          <w:szCs w:val="23"/>
          <w:shd w:val="clear" w:color="auto" w:fill="FFFFFF"/>
        </w:rPr>
      </w:pPr>
      <w:r w:rsidRPr="00DB7CB0">
        <w:rPr>
          <w:bCs/>
          <w:color w:val="000000" w:themeColor="text1"/>
        </w:rPr>
        <w:t xml:space="preserve">Holmes, S. C., Facemire, V. C., &amp; DaFonseca, A. M. (2016). Expanding Criterion A for posttraumatic stress disorder: Considering the deleterious impact of oppression. </w:t>
      </w:r>
      <w:r w:rsidRPr="00DB7CB0">
        <w:rPr>
          <w:bCs/>
          <w:i/>
          <w:iCs/>
          <w:color w:val="000000" w:themeColor="text1"/>
        </w:rPr>
        <w:t>Traumatology, 22</w:t>
      </w:r>
      <w:r w:rsidRPr="00DB7CB0">
        <w:rPr>
          <w:bCs/>
          <w:color w:val="000000" w:themeColor="text1"/>
        </w:rPr>
        <w:t>(4), 314-321.</w:t>
      </w:r>
      <w:r w:rsidR="00430D07" w:rsidRPr="00DB7CB0">
        <w:rPr>
          <w:rFonts w:ascii="Source Sans Pro" w:hAnsi="Source Sans Pro"/>
          <w:color w:val="000000" w:themeColor="text1"/>
          <w:sz w:val="23"/>
          <w:szCs w:val="23"/>
          <w:shd w:val="clear" w:color="auto" w:fill="FFFFFF"/>
        </w:rPr>
        <w:t xml:space="preserve"> </w:t>
      </w:r>
      <w:hyperlink r:id="rId16" w:history="1">
        <w:r w:rsidR="002C5B8A" w:rsidRPr="00DB7CB0">
          <w:rPr>
            <w:rStyle w:val="Hyperlink"/>
            <w:rFonts w:cs="Arial"/>
            <w:color w:val="000000" w:themeColor="text1"/>
            <w:sz w:val="23"/>
            <w:szCs w:val="23"/>
            <w:shd w:val="clear" w:color="auto" w:fill="FFFFFF"/>
          </w:rPr>
          <w:t>https://doi.org/10.1037/trm0000104</w:t>
        </w:r>
      </w:hyperlink>
    </w:p>
    <w:p w14:paraId="1F675184" w14:textId="21563FD9" w:rsidR="002C5B8A" w:rsidRPr="00DB7CB0" w:rsidRDefault="00237CAC" w:rsidP="00DB7CB0">
      <w:pPr>
        <w:pStyle w:val="ListParagraph"/>
        <w:numPr>
          <w:ilvl w:val="0"/>
          <w:numId w:val="28"/>
        </w:numPr>
        <w:contextualSpacing w:val="0"/>
        <w:rPr>
          <w:rFonts w:cs="Arial"/>
          <w:color w:val="000000" w:themeColor="text1"/>
          <w:sz w:val="23"/>
          <w:szCs w:val="23"/>
          <w:shd w:val="clear" w:color="auto" w:fill="FFFFFF"/>
        </w:rPr>
      </w:pPr>
      <w:r w:rsidRPr="00DB7CB0">
        <w:rPr>
          <w:rFonts w:cs="Arial"/>
          <w:color w:val="000000" w:themeColor="text1"/>
          <w:sz w:val="23"/>
          <w:szCs w:val="23"/>
          <w:shd w:val="clear" w:color="auto" w:fill="FFFFFF"/>
        </w:rPr>
        <w:t>Ryan-Schmidt, O. C. (2020). The Trauma Within Our Knowledge Bundles: Indigenous Helpers Navigating Trauma in Social Work Education and Practice. </w:t>
      </w:r>
      <w:r w:rsidRPr="00DB7CB0">
        <w:rPr>
          <w:rFonts w:cs="Arial"/>
          <w:i/>
          <w:iCs/>
          <w:color w:val="000000" w:themeColor="text1"/>
          <w:sz w:val="23"/>
          <w:szCs w:val="23"/>
          <w:shd w:val="clear" w:color="auto" w:fill="FFFFFF"/>
        </w:rPr>
        <w:t>Arbutus Review</w:t>
      </w:r>
      <w:r w:rsidRPr="00DB7CB0">
        <w:rPr>
          <w:rFonts w:cs="Arial"/>
          <w:color w:val="000000" w:themeColor="text1"/>
          <w:sz w:val="23"/>
          <w:szCs w:val="23"/>
          <w:shd w:val="clear" w:color="auto" w:fill="FFFFFF"/>
        </w:rPr>
        <w:t>, </w:t>
      </w:r>
      <w:r w:rsidRPr="00DB7CB0">
        <w:rPr>
          <w:rFonts w:cs="Arial"/>
          <w:i/>
          <w:iCs/>
          <w:color w:val="000000" w:themeColor="text1"/>
          <w:sz w:val="23"/>
          <w:szCs w:val="23"/>
          <w:shd w:val="clear" w:color="auto" w:fill="FFFFFF"/>
        </w:rPr>
        <w:t>11</w:t>
      </w:r>
      <w:r w:rsidRPr="00DB7CB0">
        <w:rPr>
          <w:rFonts w:cs="Arial"/>
          <w:color w:val="000000" w:themeColor="text1"/>
          <w:sz w:val="23"/>
          <w:szCs w:val="23"/>
          <w:shd w:val="clear" w:color="auto" w:fill="FFFFFF"/>
        </w:rPr>
        <w:t xml:space="preserve">(1), 11–18. </w:t>
      </w:r>
      <w:hyperlink r:id="rId17" w:history="1">
        <w:r w:rsidR="002C5B8A" w:rsidRPr="00DB7CB0">
          <w:rPr>
            <w:rStyle w:val="Hyperlink"/>
            <w:rFonts w:cs="Arial"/>
            <w:color w:val="000000" w:themeColor="text1"/>
            <w:sz w:val="23"/>
            <w:szCs w:val="23"/>
            <w:shd w:val="clear" w:color="auto" w:fill="FFFFFF"/>
          </w:rPr>
          <w:t>https://doi.org/10.18357/tar111202019460</w:t>
        </w:r>
      </w:hyperlink>
    </w:p>
    <w:p w14:paraId="6D22C0C3" w14:textId="04DC3A8F" w:rsidR="002C5B8A" w:rsidRPr="00DB7CB0" w:rsidRDefault="00237CAC" w:rsidP="00DB7CB0">
      <w:pPr>
        <w:pStyle w:val="ListParagraph"/>
        <w:numPr>
          <w:ilvl w:val="0"/>
          <w:numId w:val="28"/>
        </w:numPr>
        <w:contextualSpacing w:val="0"/>
        <w:rPr>
          <w:rFonts w:cs="Arial"/>
          <w:color w:val="000000" w:themeColor="text1"/>
          <w:sz w:val="23"/>
          <w:szCs w:val="23"/>
          <w:u w:val="single"/>
          <w:shd w:val="clear" w:color="auto" w:fill="FFFFFF"/>
        </w:rPr>
      </w:pPr>
      <w:r w:rsidRPr="00DB7CB0">
        <w:rPr>
          <w:rFonts w:cs="Arial"/>
          <w:color w:val="000000" w:themeColor="text1"/>
          <w:sz w:val="23"/>
          <w:szCs w:val="23"/>
          <w:shd w:val="clear" w:color="auto" w:fill="FFFFFF"/>
        </w:rPr>
        <w:t>Baker, S. J., &amp; Lucas, K. (2017). Is it safe to bring myself to work? Understanding LGBTQ experiences of workplace dignity. </w:t>
      </w:r>
      <w:r w:rsidRPr="00DB7CB0">
        <w:rPr>
          <w:rFonts w:cs="Arial"/>
          <w:i/>
          <w:iCs/>
          <w:color w:val="000000" w:themeColor="text1"/>
          <w:sz w:val="23"/>
          <w:szCs w:val="23"/>
          <w:shd w:val="clear" w:color="auto" w:fill="FFFFFF"/>
        </w:rPr>
        <w:t>Canadian Journal of Administrative Sciences</w:t>
      </w:r>
      <w:r w:rsidRPr="00DB7CB0">
        <w:rPr>
          <w:rFonts w:cs="Arial"/>
          <w:color w:val="000000" w:themeColor="text1"/>
          <w:sz w:val="23"/>
          <w:szCs w:val="23"/>
          <w:shd w:val="clear" w:color="auto" w:fill="FFFFFF"/>
        </w:rPr>
        <w:t>, </w:t>
      </w:r>
      <w:r w:rsidRPr="00DB7CB0">
        <w:rPr>
          <w:rFonts w:cs="Arial"/>
          <w:i/>
          <w:iCs/>
          <w:color w:val="000000" w:themeColor="text1"/>
          <w:sz w:val="23"/>
          <w:szCs w:val="23"/>
          <w:shd w:val="clear" w:color="auto" w:fill="FFFFFF"/>
        </w:rPr>
        <w:t>34</w:t>
      </w:r>
      <w:r w:rsidRPr="00DB7CB0">
        <w:rPr>
          <w:rFonts w:cs="Arial"/>
          <w:color w:val="000000" w:themeColor="text1"/>
          <w:sz w:val="23"/>
          <w:szCs w:val="23"/>
          <w:shd w:val="clear" w:color="auto" w:fill="FFFFFF"/>
        </w:rPr>
        <w:t xml:space="preserve">(2), 133–148. </w:t>
      </w:r>
      <w:hyperlink r:id="rId18" w:history="1">
        <w:r w:rsidR="0055093F" w:rsidRPr="00DB7CB0">
          <w:rPr>
            <w:rStyle w:val="Hyperlink"/>
            <w:rFonts w:cs="Arial"/>
            <w:color w:val="000000" w:themeColor="text1"/>
            <w:sz w:val="23"/>
            <w:szCs w:val="23"/>
            <w:shd w:val="clear" w:color="auto" w:fill="FFFFFF"/>
          </w:rPr>
          <w:t>https://doi.org/10.1002/cjas.1439</w:t>
        </w:r>
      </w:hyperlink>
    </w:p>
    <w:p w14:paraId="515AA0FD" w14:textId="4539A61C" w:rsidR="002C5B8A" w:rsidRPr="00DB7CB0" w:rsidRDefault="0055093F" w:rsidP="00DB7CB0">
      <w:pPr>
        <w:pStyle w:val="Heading3"/>
      </w:pPr>
      <w:r w:rsidRPr="002C5B8A">
        <w:t>Additional Suggested Readings:</w:t>
      </w:r>
    </w:p>
    <w:p w14:paraId="51FF72AF" w14:textId="4FA6519E" w:rsidR="002C5B8A" w:rsidRPr="00DB7CB0" w:rsidRDefault="0055093F" w:rsidP="00DB7CB0">
      <w:pPr>
        <w:pStyle w:val="ListParagraph"/>
        <w:numPr>
          <w:ilvl w:val="0"/>
          <w:numId w:val="29"/>
        </w:numPr>
        <w:contextualSpacing w:val="0"/>
        <w:rPr>
          <w:rFonts w:cs="Arial"/>
          <w:color w:val="000000" w:themeColor="text1"/>
          <w:sz w:val="23"/>
          <w:szCs w:val="23"/>
          <w:u w:val="single"/>
          <w:shd w:val="clear" w:color="auto" w:fill="FFFFFF"/>
        </w:rPr>
      </w:pPr>
      <w:r w:rsidRPr="00DB7CB0">
        <w:rPr>
          <w:rFonts w:cs="Arial"/>
          <w:color w:val="000000" w:themeColor="text1"/>
          <w:sz w:val="23"/>
          <w:szCs w:val="23"/>
          <w:shd w:val="clear" w:color="auto" w:fill="FFFFFF"/>
        </w:rPr>
        <w:t>Newman, P. A., Bogo, M., &amp; Daley, A. (2009). BREAKING THE SILENCE: SEXUAL ORIENTATION IN SOCIAL WORK FIELD EDUCATION. </w:t>
      </w:r>
      <w:r w:rsidRPr="00DB7CB0">
        <w:rPr>
          <w:rFonts w:cs="Arial"/>
          <w:i/>
          <w:iCs/>
          <w:color w:val="000000" w:themeColor="text1"/>
          <w:sz w:val="23"/>
          <w:szCs w:val="23"/>
          <w:shd w:val="clear" w:color="auto" w:fill="FFFFFF"/>
        </w:rPr>
        <w:t>Journal of Social Work Education</w:t>
      </w:r>
      <w:r w:rsidRPr="00DB7CB0">
        <w:rPr>
          <w:rFonts w:cs="Arial"/>
          <w:color w:val="000000" w:themeColor="text1"/>
          <w:sz w:val="23"/>
          <w:szCs w:val="23"/>
          <w:shd w:val="clear" w:color="auto" w:fill="FFFFFF"/>
        </w:rPr>
        <w:t>, </w:t>
      </w:r>
      <w:r w:rsidRPr="00DB7CB0">
        <w:rPr>
          <w:rFonts w:cs="Arial"/>
          <w:i/>
          <w:iCs/>
          <w:color w:val="000000" w:themeColor="text1"/>
          <w:sz w:val="23"/>
          <w:szCs w:val="23"/>
          <w:shd w:val="clear" w:color="auto" w:fill="FFFFFF"/>
        </w:rPr>
        <w:t>45</w:t>
      </w:r>
      <w:r w:rsidRPr="00DB7CB0">
        <w:rPr>
          <w:rFonts w:cs="Arial"/>
          <w:color w:val="000000" w:themeColor="text1"/>
          <w:sz w:val="23"/>
          <w:szCs w:val="23"/>
          <w:shd w:val="clear" w:color="auto" w:fill="FFFFFF"/>
        </w:rPr>
        <w:t xml:space="preserve">(1), 7–28. </w:t>
      </w:r>
      <w:hyperlink r:id="rId19" w:history="1">
        <w:r w:rsidRPr="00DB7CB0">
          <w:rPr>
            <w:rStyle w:val="Hyperlink"/>
            <w:rFonts w:cs="Arial"/>
            <w:color w:val="000000" w:themeColor="text1"/>
            <w:sz w:val="23"/>
            <w:szCs w:val="23"/>
            <w:shd w:val="clear" w:color="auto" w:fill="FFFFFF"/>
          </w:rPr>
          <w:t>https://doi.org/10.5175/JSWE.2009.200600093</w:t>
        </w:r>
      </w:hyperlink>
    </w:p>
    <w:p w14:paraId="68F1D2B7" w14:textId="45626A4D" w:rsidR="0055093F" w:rsidRPr="00DB7CB0" w:rsidRDefault="0055093F" w:rsidP="00DB7CB0">
      <w:pPr>
        <w:pStyle w:val="ListParagraph"/>
        <w:numPr>
          <w:ilvl w:val="0"/>
          <w:numId w:val="29"/>
        </w:numPr>
        <w:contextualSpacing w:val="0"/>
        <w:rPr>
          <w:rFonts w:cs="Arial"/>
          <w:bCs/>
          <w:color w:val="000000" w:themeColor="text1"/>
          <w:szCs w:val="24"/>
        </w:rPr>
      </w:pPr>
      <w:r w:rsidRPr="00DB7CB0">
        <w:rPr>
          <w:rFonts w:cs="Arial"/>
          <w:color w:val="000000" w:themeColor="text1"/>
          <w:szCs w:val="24"/>
          <w:shd w:val="clear" w:color="auto" w:fill="FFFFFF"/>
        </w:rPr>
        <w:lastRenderedPageBreak/>
        <w:t>Lee, B., Kellett, P., Seghal, K., &amp; Van den Berg, C. (2018). Breaking the silence of racism injuries: a community-driven study. </w:t>
      </w:r>
      <w:r w:rsidRPr="00DB7CB0">
        <w:rPr>
          <w:rFonts w:cs="Arial"/>
          <w:i/>
          <w:iCs/>
          <w:color w:val="000000" w:themeColor="text1"/>
          <w:szCs w:val="24"/>
          <w:shd w:val="clear" w:color="auto" w:fill="FFFFFF"/>
        </w:rPr>
        <w:t>International Journal of Migration, Health and Social Care</w:t>
      </w:r>
      <w:r w:rsidRPr="00DB7CB0">
        <w:rPr>
          <w:rFonts w:cs="Arial"/>
          <w:color w:val="000000" w:themeColor="text1"/>
          <w:szCs w:val="24"/>
          <w:shd w:val="clear" w:color="auto" w:fill="FFFFFF"/>
        </w:rPr>
        <w:t>, </w:t>
      </w:r>
      <w:r w:rsidRPr="00DB7CB0">
        <w:rPr>
          <w:rFonts w:cs="Arial"/>
          <w:i/>
          <w:iCs/>
          <w:color w:val="000000" w:themeColor="text1"/>
          <w:szCs w:val="24"/>
          <w:shd w:val="clear" w:color="auto" w:fill="FFFFFF"/>
        </w:rPr>
        <w:t>14</w:t>
      </w:r>
      <w:r w:rsidRPr="00DB7CB0">
        <w:rPr>
          <w:rFonts w:cs="Arial"/>
          <w:color w:val="000000" w:themeColor="text1"/>
          <w:szCs w:val="24"/>
          <w:shd w:val="clear" w:color="auto" w:fill="FFFFFF"/>
        </w:rPr>
        <w:t>(1), 1–14. https://doi.org/10.1108/IJMHSC-01-2016-0003</w:t>
      </w:r>
    </w:p>
    <w:p w14:paraId="0919F1FB" w14:textId="60A4B44E" w:rsidR="008C1E64" w:rsidRPr="00410B29" w:rsidRDefault="008C1E64" w:rsidP="00F04477">
      <w:pPr>
        <w:pStyle w:val="Heading2"/>
      </w:pPr>
      <w:bookmarkStart w:id="48" w:name="_Toc12350829"/>
      <w:r w:rsidRPr="00410B29">
        <w:t xml:space="preserve">Week 6: </w:t>
      </w:r>
      <w:bookmarkEnd w:id="48"/>
      <w:r w:rsidR="00237CAC">
        <w:t>February 16, 2023</w:t>
      </w:r>
    </w:p>
    <w:p w14:paraId="4364DE42" w14:textId="77777777" w:rsidR="008C1E64" w:rsidRPr="00410B29" w:rsidRDefault="008C1E64" w:rsidP="00581116">
      <w:pPr>
        <w:pStyle w:val="Heading3"/>
      </w:pPr>
      <w:r w:rsidRPr="00410B29">
        <w:t>Topics:</w:t>
      </w:r>
    </w:p>
    <w:p w14:paraId="0FAF6D09" w14:textId="722B006F" w:rsidR="008C1E64" w:rsidRPr="00430D07" w:rsidRDefault="00430D07">
      <w:pPr>
        <w:pStyle w:val="ListParagraph"/>
        <w:numPr>
          <w:ilvl w:val="0"/>
          <w:numId w:val="16"/>
        </w:numPr>
        <w:rPr>
          <w:b/>
        </w:rPr>
      </w:pPr>
      <w:r>
        <w:t>Changing public service organizations</w:t>
      </w:r>
    </w:p>
    <w:p w14:paraId="76BC9C61" w14:textId="13D5BA6C" w:rsidR="00430D07" w:rsidRDefault="00430D07">
      <w:pPr>
        <w:pStyle w:val="ListParagraph"/>
        <w:numPr>
          <w:ilvl w:val="0"/>
          <w:numId w:val="16"/>
        </w:numPr>
        <w:rPr>
          <w:bCs/>
        </w:rPr>
      </w:pPr>
      <w:r w:rsidRPr="00430D07">
        <w:rPr>
          <w:bCs/>
        </w:rPr>
        <w:t xml:space="preserve">Working towards equity in social service </w:t>
      </w:r>
    </w:p>
    <w:p w14:paraId="095D78D6" w14:textId="0C1A28ED" w:rsidR="00B2428E" w:rsidRPr="00430D07" w:rsidRDefault="00B2428E">
      <w:pPr>
        <w:pStyle w:val="ListParagraph"/>
        <w:numPr>
          <w:ilvl w:val="0"/>
          <w:numId w:val="16"/>
        </w:numPr>
        <w:rPr>
          <w:bCs/>
        </w:rPr>
      </w:pPr>
      <w:r>
        <w:rPr>
          <w:bCs/>
        </w:rPr>
        <w:t xml:space="preserve">Guest Speaker </w:t>
      </w:r>
      <w:hyperlink r:id="rId20" w:history="1">
        <w:r w:rsidRPr="00B2428E">
          <w:rPr>
            <w:rStyle w:val="Hyperlink"/>
            <w:bCs/>
          </w:rPr>
          <w:t>TBC: Iona Sky (they/them/she/her)</w:t>
        </w:r>
      </w:hyperlink>
    </w:p>
    <w:p w14:paraId="5AF24041" w14:textId="2FE4BBA5" w:rsidR="002C5B8A" w:rsidRPr="00DB7CB0" w:rsidRDefault="008C1E64" w:rsidP="00DB7CB0">
      <w:pPr>
        <w:pStyle w:val="Heading3"/>
      </w:pPr>
      <w:r w:rsidRPr="00B2428E">
        <w:t>Readings</w:t>
      </w:r>
      <w:r w:rsidRPr="00410B29">
        <w:t>:</w:t>
      </w:r>
    </w:p>
    <w:p w14:paraId="10DC8FDD" w14:textId="1EAC818A" w:rsidR="00430D07" w:rsidRPr="00DB7CB0" w:rsidRDefault="00430D07" w:rsidP="00DB7CB0">
      <w:pPr>
        <w:pStyle w:val="ListParagraph"/>
        <w:numPr>
          <w:ilvl w:val="0"/>
          <w:numId w:val="30"/>
        </w:numPr>
        <w:contextualSpacing w:val="0"/>
        <w:rPr>
          <w:rFonts w:cs="Arial"/>
          <w:szCs w:val="24"/>
        </w:rPr>
      </w:pPr>
      <w:r w:rsidRPr="00DB7CB0">
        <w:rPr>
          <w:rFonts w:cs="Arial"/>
          <w:sz w:val="23"/>
          <w:szCs w:val="23"/>
          <w:shd w:val="clear" w:color="auto" w:fill="FFFFFF"/>
        </w:rPr>
        <w:t>Fichtenberg, C., Delva, J., Minyard, K., &amp; Gottlieb, L. M. (2020). Health And Human Services Integration: Generating Sustained Health And Equity Improvements: An overview of collaborations, partnerships, and other integration efforts between health care and social services organizations. </w:t>
      </w:r>
      <w:r w:rsidRPr="00DB7CB0">
        <w:rPr>
          <w:rFonts w:cs="Arial"/>
          <w:i/>
          <w:iCs/>
          <w:sz w:val="23"/>
          <w:szCs w:val="23"/>
          <w:shd w:val="clear" w:color="auto" w:fill="FFFFFF"/>
        </w:rPr>
        <w:t>Health Affairs</w:t>
      </w:r>
      <w:r w:rsidRPr="00DB7CB0">
        <w:rPr>
          <w:rFonts w:cs="Arial"/>
          <w:sz w:val="23"/>
          <w:szCs w:val="23"/>
          <w:shd w:val="clear" w:color="auto" w:fill="FFFFFF"/>
        </w:rPr>
        <w:t>, </w:t>
      </w:r>
      <w:r w:rsidRPr="00DB7CB0">
        <w:rPr>
          <w:rFonts w:cs="Arial"/>
          <w:i/>
          <w:iCs/>
          <w:sz w:val="23"/>
          <w:szCs w:val="23"/>
          <w:shd w:val="clear" w:color="auto" w:fill="FFFFFF"/>
        </w:rPr>
        <w:t>39</w:t>
      </w:r>
      <w:r w:rsidRPr="00DB7CB0">
        <w:rPr>
          <w:rFonts w:cs="Arial"/>
          <w:sz w:val="23"/>
          <w:szCs w:val="23"/>
          <w:shd w:val="clear" w:color="auto" w:fill="FFFFFF"/>
        </w:rPr>
        <w:t>(4), 567–573. https://doi.org/10.1377/hlthaff.2019.01594</w:t>
      </w:r>
    </w:p>
    <w:p w14:paraId="195ED32E" w14:textId="77777777" w:rsidR="00430D07" w:rsidRPr="00DB7CB0" w:rsidRDefault="00430D07" w:rsidP="00DB7CB0">
      <w:pPr>
        <w:pStyle w:val="ListParagraph"/>
        <w:numPr>
          <w:ilvl w:val="0"/>
          <w:numId w:val="30"/>
        </w:numPr>
        <w:contextualSpacing w:val="0"/>
        <w:rPr>
          <w:rFonts w:cs="Arial"/>
          <w:color w:val="000000" w:themeColor="text1"/>
          <w:szCs w:val="24"/>
        </w:rPr>
      </w:pPr>
      <w:r w:rsidRPr="00DB7CB0">
        <w:rPr>
          <w:rFonts w:cs="Arial"/>
          <w:color w:val="000000"/>
          <w:szCs w:val="24"/>
        </w:rPr>
        <w:t>Trevithick, P. (2014). Humanizing Managerialism: Reclaiming Emotional Reasoning,</w:t>
      </w:r>
      <w:r w:rsidRPr="00DB7CB0">
        <w:rPr>
          <w:rFonts w:cs="Arial"/>
          <w:szCs w:val="24"/>
        </w:rPr>
        <w:t xml:space="preserve"> </w:t>
      </w:r>
      <w:r w:rsidRPr="00DB7CB0">
        <w:rPr>
          <w:rFonts w:cs="Arial"/>
          <w:color w:val="000000" w:themeColor="text1"/>
          <w:szCs w:val="24"/>
        </w:rPr>
        <w:t xml:space="preserve">Intuition, the Relationship, and Knowledge and Skills in Social Work. </w:t>
      </w:r>
      <w:r w:rsidRPr="00DB7CB0">
        <w:rPr>
          <w:rFonts w:cs="Arial"/>
          <w:i/>
          <w:color w:val="000000" w:themeColor="text1"/>
          <w:szCs w:val="24"/>
        </w:rPr>
        <w:t xml:space="preserve">Journal of Social Work Practice </w:t>
      </w:r>
      <w:r w:rsidRPr="00DB7CB0">
        <w:rPr>
          <w:rFonts w:cs="Arial"/>
          <w:color w:val="000000" w:themeColor="text1"/>
          <w:szCs w:val="24"/>
        </w:rPr>
        <w:t>28(3): 287-311.</w:t>
      </w:r>
    </w:p>
    <w:p w14:paraId="634B6D65" w14:textId="183FD3F8" w:rsidR="00430D07" w:rsidRPr="00DB7CB0" w:rsidRDefault="00430D07" w:rsidP="00DB7CB0">
      <w:pPr>
        <w:pStyle w:val="ListParagraph"/>
        <w:numPr>
          <w:ilvl w:val="0"/>
          <w:numId w:val="30"/>
        </w:numPr>
        <w:contextualSpacing w:val="0"/>
        <w:rPr>
          <w:rFonts w:cs="Arial"/>
          <w:color w:val="000000" w:themeColor="text1"/>
          <w:szCs w:val="24"/>
        </w:rPr>
      </w:pPr>
      <w:r w:rsidRPr="00DB7CB0">
        <w:rPr>
          <w:rFonts w:cs="Arial"/>
          <w:color w:val="000000" w:themeColor="text1"/>
          <w:szCs w:val="24"/>
          <w:shd w:val="clear" w:color="auto" w:fill="FFFFFF"/>
        </w:rPr>
        <w:t>Curry-Stevens, A. (2022). What Matters: Achieving Racial Equity in a Human Service Non-Profit Organization. </w:t>
      </w:r>
      <w:r w:rsidRPr="00DB7CB0">
        <w:rPr>
          <w:rFonts w:cs="Arial"/>
          <w:i/>
          <w:iCs/>
          <w:color w:val="000000" w:themeColor="text1"/>
          <w:szCs w:val="24"/>
          <w:shd w:val="clear" w:color="auto" w:fill="FFFFFF"/>
        </w:rPr>
        <w:t>Advances in Social Sciences Research Journal</w:t>
      </w:r>
      <w:r w:rsidRPr="00DB7CB0">
        <w:rPr>
          <w:rFonts w:cs="Arial"/>
          <w:color w:val="000000" w:themeColor="text1"/>
          <w:szCs w:val="24"/>
          <w:shd w:val="clear" w:color="auto" w:fill="FFFFFF"/>
        </w:rPr>
        <w:t>, </w:t>
      </w:r>
      <w:r w:rsidRPr="00DB7CB0">
        <w:rPr>
          <w:rFonts w:cs="Arial"/>
          <w:i/>
          <w:iCs/>
          <w:color w:val="000000" w:themeColor="text1"/>
          <w:szCs w:val="24"/>
          <w:shd w:val="clear" w:color="auto" w:fill="FFFFFF"/>
        </w:rPr>
        <w:t>9</w:t>
      </w:r>
      <w:r w:rsidRPr="00DB7CB0">
        <w:rPr>
          <w:rFonts w:cs="Arial"/>
          <w:color w:val="000000" w:themeColor="text1"/>
          <w:szCs w:val="24"/>
          <w:shd w:val="clear" w:color="auto" w:fill="FFFFFF"/>
        </w:rPr>
        <w:t xml:space="preserve">(1), 307–338. </w:t>
      </w:r>
      <w:hyperlink r:id="rId21" w:history="1">
        <w:r w:rsidRPr="00DB7CB0">
          <w:rPr>
            <w:rStyle w:val="Hyperlink"/>
            <w:rFonts w:cs="Arial"/>
            <w:color w:val="000000" w:themeColor="text1"/>
            <w:szCs w:val="24"/>
            <w:shd w:val="clear" w:color="auto" w:fill="FFFFFF"/>
          </w:rPr>
          <w:t>https://doi.org/10.14738/assrj.91.1155</w:t>
        </w:r>
      </w:hyperlink>
    </w:p>
    <w:p w14:paraId="63B39CC5" w14:textId="2DBD5AAE" w:rsidR="00430D07" w:rsidRPr="00DB7CB0" w:rsidRDefault="00430D07" w:rsidP="00DB7CB0">
      <w:pPr>
        <w:pStyle w:val="ListParagraph"/>
        <w:numPr>
          <w:ilvl w:val="0"/>
          <w:numId w:val="30"/>
        </w:numPr>
        <w:contextualSpacing w:val="0"/>
        <w:rPr>
          <w:rFonts w:cs="Arial"/>
          <w:color w:val="000000" w:themeColor="text1"/>
          <w:szCs w:val="24"/>
        </w:rPr>
      </w:pPr>
      <w:r w:rsidRPr="00DB7CB0">
        <w:rPr>
          <w:rFonts w:cs="Arial"/>
          <w:color w:val="000000" w:themeColor="text1"/>
          <w:szCs w:val="24"/>
          <w:shd w:val="clear" w:color="auto" w:fill="FFFFFF"/>
        </w:rPr>
        <w:t>Reid, K. S., Odusanya, A. O., Lawrence, W. R., &amp; Hastings, J. F. (2022). Commentary: An Equitable Approach to Serving Structurally Marginalized Communities. </w:t>
      </w:r>
      <w:r w:rsidRPr="00DB7CB0">
        <w:rPr>
          <w:rFonts w:cs="Arial"/>
          <w:i/>
          <w:iCs/>
          <w:color w:val="000000" w:themeColor="text1"/>
          <w:szCs w:val="24"/>
          <w:shd w:val="clear" w:color="auto" w:fill="FFFFFF"/>
        </w:rPr>
        <w:t>Family &amp; Community Health</w:t>
      </w:r>
      <w:r w:rsidRPr="00DB7CB0">
        <w:rPr>
          <w:rFonts w:cs="Arial"/>
          <w:color w:val="000000" w:themeColor="text1"/>
          <w:szCs w:val="24"/>
          <w:shd w:val="clear" w:color="auto" w:fill="FFFFFF"/>
        </w:rPr>
        <w:t>, </w:t>
      </w:r>
      <w:r w:rsidRPr="00DB7CB0">
        <w:rPr>
          <w:rFonts w:cs="Arial"/>
          <w:i/>
          <w:iCs/>
          <w:color w:val="000000" w:themeColor="text1"/>
          <w:szCs w:val="24"/>
          <w:shd w:val="clear" w:color="auto" w:fill="FFFFFF"/>
        </w:rPr>
        <w:t>45</w:t>
      </w:r>
      <w:r w:rsidRPr="00DB7CB0">
        <w:rPr>
          <w:rFonts w:cs="Arial"/>
          <w:color w:val="000000" w:themeColor="text1"/>
          <w:szCs w:val="24"/>
          <w:shd w:val="clear" w:color="auto" w:fill="FFFFFF"/>
        </w:rPr>
        <w:t xml:space="preserve">(4), 215–217. </w:t>
      </w:r>
      <w:hyperlink r:id="rId22" w:history="1">
        <w:r w:rsidR="00B2428E" w:rsidRPr="00DB7CB0">
          <w:rPr>
            <w:rStyle w:val="Hyperlink"/>
            <w:rFonts w:cs="Arial"/>
            <w:color w:val="000000" w:themeColor="text1"/>
            <w:szCs w:val="24"/>
            <w:shd w:val="clear" w:color="auto" w:fill="FFFFFF"/>
          </w:rPr>
          <w:t>https://doi.org/10.1097/FCH.0000000000000345</w:t>
        </w:r>
      </w:hyperlink>
    </w:p>
    <w:p w14:paraId="0B06BE24" w14:textId="0313DC83" w:rsidR="00B2428E" w:rsidRPr="00DB7CB0" w:rsidRDefault="00B2428E" w:rsidP="00DB7CB0">
      <w:pPr>
        <w:pStyle w:val="ListParagraph"/>
        <w:numPr>
          <w:ilvl w:val="0"/>
          <w:numId w:val="30"/>
        </w:numPr>
        <w:contextualSpacing w:val="0"/>
        <w:rPr>
          <w:rFonts w:cs="Arial"/>
          <w:color w:val="000000" w:themeColor="text1"/>
          <w:sz w:val="28"/>
          <w:szCs w:val="28"/>
        </w:rPr>
      </w:pPr>
      <w:r w:rsidRPr="00DB7CB0">
        <w:rPr>
          <w:rFonts w:cs="Arial"/>
          <w:color w:val="000000" w:themeColor="text1"/>
          <w:szCs w:val="24"/>
          <w:shd w:val="clear" w:color="auto" w:fill="FFFFFF"/>
        </w:rPr>
        <w:t>Daley, A., Brotman, S., MacDonnell, J. A., &amp; St Pierre, M. (2020). A Framework for Enhancing Access to Equitable Home Care for 2SLGBTQ+ Communities. </w:t>
      </w:r>
      <w:r w:rsidRPr="00DB7CB0">
        <w:rPr>
          <w:rFonts w:cs="Arial"/>
          <w:i/>
          <w:iCs/>
          <w:color w:val="000000" w:themeColor="text1"/>
          <w:szCs w:val="24"/>
          <w:shd w:val="clear" w:color="auto" w:fill="FFFFFF"/>
        </w:rPr>
        <w:t>International Journal of Environmental Research and Public Health</w:t>
      </w:r>
      <w:r w:rsidRPr="00DB7CB0">
        <w:rPr>
          <w:rFonts w:cs="Arial"/>
          <w:color w:val="000000" w:themeColor="text1"/>
          <w:szCs w:val="24"/>
          <w:shd w:val="clear" w:color="auto" w:fill="FFFFFF"/>
        </w:rPr>
        <w:t>, </w:t>
      </w:r>
      <w:r w:rsidRPr="00DB7CB0">
        <w:rPr>
          <w:rFonts w:cs="Arial"/>
          <w:i/>
          <w:iCs/>
          <w:color w:val="000000" w:themeColor="text1"/>
          <w:szCs w:val="24"/>
          <w:shd w:val="clear" w:color="auto" w:fill="FFFFFF"/>
        </w:rPr>
        <w:t>17</w:t>
      </w:r>
      <w:r w:rsidRPr="00DB7CB0">
        <w:rPr>
          <w:rFonts w:cs="Arial"/>
          <w:color w:val="000000" w:themeColor="text1"/>
          <w:szCs w:val="24"/>
          <w:shd w:val="clear" w:color="auto" w:fill="FFFFFF"/>
        </w:rPr>
        <w:t>(20), 7533–. https://doi.org/10.3390/ijerph17207533</w:t>
      </w:r>
    </w:p>
    <w:p w14:paraId="4B7FE963" w14:textId="63D1F170" w:rsidR="002C5B8A" w:rsidRPr="00DB7CB0" w:rsidRDefault="00430D07" w:rsidP="00DB7CB0">
      <w:pPr>
        <w:pStyle w:val="Heading3"/>
      </w:pPr>
      <w:r w:rsidRPr="002C5B8A">
        <w:lastRenderedPageBreak/>
        <w:t xml:space="preserve">Additional Suggested Readings: </w:t>
      </w:r>
    </w:p>
    <w:p w14:paraId="6DE9BE40" w14:textId="7C428713" w:rsidR="00B2428E" w:rsidRPr="00DB7CB0" w:rsidRDefault="00430D07" w:rsidP="00DB7CB0">
      <w:pPr>
        <w:pStyle w:val="ListParagraph"/>
        <w:numPr>
          <w:ilvl w:val="0"/>
          <w:numId w:val="31"/>
        </w:numPr>
        <w:contextualSpacing w:val="0"/>
        <w:rPr>
          <w:rFonts w:cs="Arial"/>
          <w:color w:val="000000" w:themeColor="text1"/>
          <w:sz w:val="23"/>
          <w:szCs w:val="23"/>
          <w:shd w:val="clear" w:color="auto" w:fill="FFFFFF"/>
        </w:rPr>
      </w:pPr>
      <w:r w:rsidRPr="00DB7CB0">
        <w:rPr>
          <w:rFonts w:cs="Arial"/>
          <w:color w:val="000000" w:themeColor="text1"/>
          <w:sz w:val="23"/>
          <w:szCs w:val="23"/>
          <w:shd w:val="clear" w:color="auto" w:fill="FFFFFF"/>
        </w:rPr>
        <w:t>James, C. E. (1996). </w:t>
      </w:r>
      <w:r w:rsidRPr="00DB7CB0">
        <w:rPr>
          <w:rFonts w:cs="Arial"/>
          <w:i/>
          <w:iCs/>
          <w:color w:val="000000" w:themeColor="text1"/>
          <w:sz w:val="23"/>
          <w:szCs w:val="23"/>
          <w:shd w:val="clear" w:color="auto" w:fill="FFFFFF"/>
        </w:rPr>
        <w:t>Perspectives on racism and the human services sector: a case for change</w:t>
      </w:r>
      <w:r w:rsidRPr="00DB7CB0">
        <w:rPr>
          <w:rFonts w:cs="Arial"/>
          <w:color w:val="000000" w:themeColor="text1"/>
          <w:sz w:val="23"/>
          <w:szCs w:val="23"/>
          <w:shd w:val="clear" w:color="auto" w:fill="FFFFFF"/>
        </w:rPr>
        <w:t xml:space="preserve"> (C. E. James, Ed.). University of Toronto Press. </w:t>
      </w:r>
      <w:hyperlink r:id="rId23" w:history="1">
        <w:r w:rsidR="00B2428E" w:rsidRPr="00DB7CB0">
          <w:rPr>
            <w:rStyle w:val="Hyperlink"/>
            <w:rFonts w:cs="Arial"/>
            <w:color w:val="000000" w:themeColor="text1"/>
            <w:sz w:val="23"/>
            <w:szCs w:val="23"/>
            <w:shd w:val="clear" w:color="auto" w:fill="FFFFFF"/>
          </w:rPr>
          <w:t>https://doi.org/10.3138/9781442678385</w:t>
        </w:r>
      </w:hyperlink>
    </w:p>
    <w:p w14:paraId="10AAE0DF" w14:textId="67110ABC" w:rsidR="00B2428E" w:rsidRPr="00DB7CB0" w:rsidRDefault="00B2428E" w:rsidP="00DB7CB0">
      <w:pPr>
        <w:pStyle w:val="ListParagraph"/>
        <w:numPr>
          <w:ilvl w:val="0"/>
          <w:numId w:val="31"/>
        </w:numPr>
        <w:contextualSpacing w:val="0"/>
        <w:rPr>
          <w:rFonts w:cs="Arial"/>
          <w:color w:val="000000" w:themeColor="text1"/>
          <w:szCs w:val="24"/>
          <w:shd w:val="clear" w:color="auto" w:fill="FFFFFF"/>
        </w:rPr>
      </w:pPr>
      <w:r w:rsidRPr="00DB7CB0">
        <w:rPr>
          <w:rFonts w:cs="Arial"/>
          <w:color w:val="000000" w:themeColor="text1"/>
          <w:szCs w:val="24"/>
          <w:shd w:val="clear" w:color="auto" w:fill="FFFFFF"/>
        </w:rPr>
        <w:t>Miller, sj. (2016). </w:t>
      </w:r>
      <w:r w:rsidRPr="00DB7CB0">
        <w:rPr>
          <w:rFonts w:cs="Arial"/>
          <w:i/>
          <w:iCs/>
          <w:color w:val="000000" w:themeColor="text1"/>
          <w:szCs w:val="24"/>
          <w:shd w:val="clear" w:color="auto" w:fill="FFFFFF"/>
        </w:rPr>
        <w:t>Teaching, Affirming, and Recognizing Trans and Gender Creative Youth A Queer Literacy Framework</w:t>
      </w:r>
      <w:r w:rsidRPr="00DB7CB0">
        <w:rPr>
          <w:rFonts w:cs="Arial"/>
          <w:color w:val="000000" w:themeColor="text1"/>
          <w:szCs w:val="24"/>
          <w:shd w:val="clear" w:color="auto" w:fill="FFFFFF"/>
        </w:rPr>
        <w:t xml:space="preserve"> ( sj. Miller, Ed.; 1st ed. 2016.). Palgrave Macmillan US. </w:t>
      </w:r>
      <w:hyperlink r:id="rId24" w:history="1">
        <w:r w:rsidRPr="00DB7CB0">
          <w:rPr>
            <w:rStyle w:val="Hyperlink"/>
            <w:rFonts w:cs="Arial"/>
            <w:color w:val="000000" w:themeColor="text1"/>
            <w:szCs w:val="24"/>
            <w:shd w:val="clear" w:color="auto" w:fill="FFFFFF"/>
          </w:rPr>
          <w:t>https://doi.org/10.1057/978-1-137-56766-6</w:t>
        </w:r>
      </w:hyperlink>
    </w:p>
    <w:p w14:paraId="07336D71" w14:textId="2C0E0F85" w:rsidR="002C5B8A" w:rsidRPr="002C5B8A" w:rsidRDefault="008C1E64" w:rsidP="00DB7CB0">
      <w:pPr>
        <w:pStyle w:val="Heading2"/>
      </w:pPr>
      <w:bookmarkStart w:id="49" w:name="_Toc12350830"/>
      <w:r w:rsidRPr="00410B29">
        <w:t xml:space="preserve">Week 7: </w:t>
      </w:r>
      <w:bookmarkEnd w:id="49"/>
      <w:r w:rsidR="00B2428E">
        <w:t>February 23, 2023: Reading Week</w:t>
      </w:r>
      <w:r w:rsidR="002C5B8A">
        <w:t xml:space="preserve"> – </w:t>
      </w:r>
      <w:r w:rsidR="002C5B8A" w:rsidRPr="002C5B8A">
        <w:rPr>
          <w:i/>
          <w:iCs/>
        </w:rPr>
        <w:t>No class</w:t>
      </w:r>
    </w:p>
    <w:p w14:paraId="5245E5C9" w14:textId="500B8AF3" w:rsidR="008C1E64" w:rsidRPr="00410B29" w:rsidRDefault="008C1E64" w:rsidP="00F04477">
      <w:pPr>
        <w:pStyle w:val="Heading2"/>
      </w:pPr>
      <w:bookmarkStart w:id="50" w:name="_Toc12350831"/>
      <w:r w:rsidRPr="00410B29">
        <w:t xml:space="preserve">Week 8: </w:t>
      </w:r>
      <w:bookmarkEnd w:id="50"/>
      <w:r w:rsidR="002C5B8A">
        <w:t>March 2, 2023</w:t>
      </w:r>
    </w:p>
    <w:p w14:paraId="5E8D3745" w14:textId="77777777" w:rsidR="008C1E64" w:rsidRPr="00410B29" w:rsidRDefault="008C1E64" w:rsidP="00581116">
      <w:pPr>
        <w:pStyle w:val="Heading3"/>
      </w:pPr>
      <w:r w:rsidRPr="00410B29">
        <w:t>Topics:</w:t>
      </w:r>
    </w:p>
    <w:p w14:paraId="6CF1E109" w14:textId="2C6574AA" w:rsidR="008C1E64" w:rsidRPr="002C5B8A" w:rsidRDefault="00B2428E">
      <w:pPr>
        <w:pStyle w:val="ListParagraph"/>
        <w:numPr>
          <w:ilvl w:val="3"/>
          <w:numId w:val="16"/>
        </w:numPr>
        <w:rPr>
          <w:b/>
        </w:rPr>
      </w:pPr>
      <w:r>
        <w:t xml:space="preserve">Ruling apparatus: Information technologies, </w:t>
      </w:r>
      <w:r w:rsidR="000A546F">
        <w:t>efficiencies,</w:t>
      </w:r>
      <w:r>
        <w:t xml:space="preserve"> and accountability</w:t>
      </w:r>
    </w:p>
    <w:p w14:paraId="06DD5215" w14:textId="2BA1B78F" w:rsidR="002C5B8A" w:rsidRPr="002C5B8A" w:rsidRDefault="008C1E64" w:rsidP="00DB7CB0">
      <w:pPr>
        <w:pStyle w:val="Heading3"/>
      </w:pPr>
      <w:r w:rsidRPr="00B2428E">
        <w:t>Readings</w:t>
      </w:r>
      <w:r w:rsidRPr="00410B29">
        <w:t>:</w:t>
      </w:r>
    </w:p>
    <w:p w14:paraId="3B02E63B" w14:textId="760BC509" w:rsidR="002C5B8A" w:rsidRPr="00DB7CB0" w:rsidRDefault="00B2428E" w:rsidP="00DB7CB0">
      <w:pPr>
        <w:pStyle w:val="ListParagraph"/>
        <w:numPr>
          <w:ilvl w:val="0"/>
          <w:numId w:val="32"/>
        </w:numPr>
        <w:contextualSpacing w:val="0"/>
        <w:rPr>
          <w:rFonts w:cs="Arial"/>
          <w:szCs w:val="24"/>
          <w:u w:val="single"/>
          <w:shd w:val="clear" w:color="auto" w:fill="FFFFFF"/>
        </w:rPr>
      </w:pPr>
      <w:r w:rsidRPr="00DB7CB0">
        <w:rPr>
          <w:rFonts w:cs="Arial"/>
          <w:color w:val="3A3A3A"/>
          <w:szCs w:val="24"/>
          <w:shd w:val="clear" w:color="auto" w:fill="FFFFFF"/>
        </w:rPr>
        <w:t xml:space="preserve">Evans, A. (2019). 86 Falling </w:t>
      </w:r>
      <w:r w:rsidRPr="00DB7CB0">
        <w:rPr>
          <w:rFonts w:cs="Arial"/>
          <w:szCs w:val="24"/>
          <w:shd w:val="clear" w:color="auto" w:fill="FFFFFF"/>
        </w:rPr>
        <w:t>between the gaps, again, and again: the lack of coordination between health care and the child welfare system. </w:t>
      </w:r>
      <w:r w:rsidRPr="00DB7CB0">
        <w:rPr>
          <w:rFonts w:cs="Arial"/>
          <w:i/>
          <w:iCs/>
          <w:szCs w:val="24"/>
          <w:shd w:val="clear" w:color="auto" w:fill="FFFFFF"/>
        </w:rPr>
        <w:t>Paediatrics &amp; Child Health</w:t>
      </w:r>
      <w:r w:rsidRPr="00DB7CB0">
        <w:rPr>
          <w:rFonts w:cs="Arial"/>
          <w:szCs w:val="24"/>
          <w:shd w:val="clear" w:color="auto" w:fill="FFFFFF"/>
        </w:rPr>
        <w:t>, </w:t>
      </w:r>
      <w:r w:rsidRPr="00DB7CB0">
        <w:rPr>
          <w:rFonts w:cs="Arial"/>
          <w:i/>
          <w:iCs/>
          <w:szCs w:val="24"/>
          <w:shd w:val="clear" w:color="auto" w:fill="FFFFFF"/>
        </w:rPr>
        <w:t>24</w:t>
      </w:r>
      <w:r w:rsidRPr="00DB7CB0">
        <w:rPr>
          <w:rFonts w:cs="Arial"/>
          <w:szCs w:val="24"/>
          <w:shd w:val="clear" w:color="auto" w:fill="FFFFFF"/>
        </w:rPr>
        <w:t xml:space="preserve">(Supplement_2), e33–e34. </w:t>
      </w:r>
      <w:hyperlink r:id="rId25" w:history="1">
        <w:r w:rsidRPr="00DB7CB0">
          <w:rPr>
            <w:rStyle w:val="Hyperlink"/>
            <w:rFonts w:cs="Arial"/>
            <w:color w:val="auto"/>
            <w:szCs w:val="24"/>
            <w:shd w:val="clear" w:color="auto" w:fill="FFFFFF"/>
          </w:rPr>
          <w:t>https://doi.org/10.1093/pch/pxz066.085</w:t>
        </w:r>
      </w:hyperlink>
      <w:bookmarkStart w:id="51" w:name="_Toc12350832"/>
    </w:p>
    <w:p w14:paraId="5EF8AB22" w14:textId="7740CBE3" w:rsidR="002C5B8A" w:rsidRPr="00DB7CB0" w:rsidRDefault="00B2428E" w:rsidP="00DB7CB0">
      <w:pPr>
        <w:pStyle w:val="ListParagraph"/>
        <w:numPr>
          <w:ilvl w:val="0"/>
          <w:numId w:val="32"/>
        </w:numPr>
        <w:contextualSpacing w:val="0"/>
        <w:rPr>
          <w:rFonts w:cs="Arial"/>
          <w:szCs w:val="24"/>
          <w:u w:val="single"/>
          <w:shd w:val="clear" w:color="auto" w:fill="FFFFFF"/>
        </w:rPr>
      </w:pPr>
      <w:r w:rsidRPr="00DB7CB0">
        <w:rPr>
          <w:rFonts w:cs="Arial"/>
          <w:szCs w:val="24"/>
          <w:shd w:val="clear" w:color="auto" w:fill="FFFFFF"/>
        </w:rPr>
        <w:t>Tregeagle, S., &amp; Darcy, M. (2008). Child Welfare and Information and Communication Technology: Today’s Challenge. </w:t>
      </w:r>
      <w:r w:rsidRPr="00DB7CB0">
        <w:rPr>
          <w:rFonts w:cs="Arial"/>
          <w:i/>
          <w:iCs/>
          <w:szCs w:val="24"/>
          <w:shd w:val="clear" w:color="auto" w:fill="FFFFFF"/>
        </w:rPr>
        <w:t>The British Journal of Social Work</w:t>
      </w:r>
      <w:r w:rsidRPr="00DB7CB0">
        <w:rPr>
          <w:rFonts w:cs="Arial"/>
          <w:szCs w:val="24"/>
          <w:shd w:val="clear" w:color="auto" w:fill="FFFFFF"/>
        </w:rPr>
        <w:t>, </w:t>
      </w:r>
      <w:r w:rsidRPr="00DB7CB0">
        <w:rPr>
          <w:rFonts w:cs="Arial"/>
          <w:i/>
          <w:iCs/>
          <w:szCs w:val="24"/>
          <w:shd w:val="clear" w:color="auto" w:fill="FFFFFF"/>
        </w:rPr>
        <w:t>38</w:t>
      </w:r>
      <w:r w:rsidRPr="00DB7CB0">
        <w:rPr>
          <w:rFonts w:cs="Arial"/>
          <w:szCs w:val="24"/>
          <w:shd w:val="clear" w:color="auto" w:fill="FFFFFF"/>
        </w:rPr>
        <w:t xml:space="preserve">(8), 1481–1498. </w:t>
      </w:r>
      <w:hyperlink r:id="rId26" w:history="1">
        <w:r w:rsidRPr="00DB7CB0">
          <w:rPr>
            <w:rStyle w:val="Hyperlink"/>
            <w:rFonts w:cs="Arial"/>
            <w:color w:val="auto"/>
            <w:szCs w:val="24"/>
            <w:shd w:val="clear" w:color="auto" w:fill="FFFFFF"/>
          </w:rPr>
          <w:t>https://doi.org/10.1093/bjsw/bcm048</w:t>
        </w:r>
      </w:hyperlink>
    </w:p>
    <w:p w14:paraId="66F05889" w14:textId="2F85B1EC" w:rsidR="002C5B8A" w:rsidRPr="00DB7CB0" w:rsidRDefault="00B2428E" w:rsidP="00DB7CB0">
      <w:pPr>
        <w:pStyle w:val="ListParagraph"/>
        <w:numPr>
          <w:ilvl w:val="0"/>
          <w:numId w:val="32"/>
        </w:numPr>
        <w:contextualSpacing w:val="0"/>
        <w:rPr>
          <w:szCs w:val="20"/>
        </w:rPr>
      </w:pPr>
      <w:r w:rsidRPr="00C34C3A">
        <w:t xml:space="preserve">Sarwar, A. &amp; Harris, M. (2019). </w:t>
      </w:r>
      <w:r w:rsidRPr="008C4514">
        <w:t xml:space="preserve">Children’s services in the age of information technology: What matters most to frontline professionals. </w:t>
      </w:r>
      <w:r w:rsidRPr="00DB7CB0">
        <w:rPr>
          <w:i/>
        </w:rPr>
        <w:t>Journal of Social Work</w:t>
      </w:r>
      <w:r w:rsidRPr="008C4514">
        <w:t>, Vol. 19(6) 699–718.</w:t>
      </w:r>
    </w:p>
    <w:p w14:paraId="2C466511" w14:textId="77777777" w:rsidR="00581116" w:rsidRPr="00DB7CB0" w:rsidRDefault="00581116" w:rsidP="00DB7CB0">
      <w:pPr>
        <w:pStyle w:val="ListParagraph"/>
        <w:numPr>
          <w:ilvl w:val="0"/>
          <w:numId w:val="32"/>
        </w:numPr>
        <w:contextualSpacing w:val="0"/>
        <w:rPr>
          <w:rFonts w:cs="Arial"/>
          <w:szCs w:val="24"/>
        </w:rPr>
      </w:pPr>
      <w:r w:rsidRPr="00DB7CB0">
        <w:rPr>
          <w:rFonts w:cs="Arial"/>
          <w:color w:val="000000"/>
          <w:szCs w:val="24"/>
        </w:rPr>
        <w:t>Rankin</w:t>
      </w:r>
      <w:r w:rsidRPr="00DB7CB0">
        <w:rPr>
          <w:rFonts w:cs="Arial"/>
          <w:szCs w:val="24"/>
        </w:rPr>
        <w:t xml:space="preserve">, J.M. (2014). The rhetoric of patient and family centred care: an institutional ethnography into what really happens. </w:t>
      </w:r>
      <w:r w:rsidRPr="00DB7CB0">
        <w:rPr>
          <w:rFonts w:cs="Arial"/>
          <w:i/>
          <w:szCs w:val="24"/>
        </w:rPr>
        <w:t xml:space="preserve">The Journal of Advanced Nursing </w:t>
      </w:r>
      <w:r w:rsidRPr="00DB7CB0">
        <w:rPr>
          <w:rFonts w:cs="Arial"/>
          <w:szCs w:val="24"/>
        </w:rPr>
        <w:t>(JAN) 71(3) 526-534.</w:t>
      </w:r>
    </w:p>
    <w:p w14:paraId="5913A18A" w14:textId="18F28442" w:rsidR="002C5B8A" w:rsidRPr="00DB7CB0" w:rsidRDefault="00581116" w:rsidP="00DB7CB0">
      <w:pPr>
        <w:pStyle w:val="Heading3"/>
      </w:pPr>
      <w:r w:rsidRPr="00581116">
        <w:t xml:space="preserve">Additional Suggested Readings: </w:t>
      </w:r>
    </w:p>
    <w:p w14:paraId="12C11DFC" w14:textId="034DC1E2" w:rsidR="00581116" w:rsidRPr="00DB7CB0" w:rsidRDefault="00581116" w:rsidP="00DB7CB0">
      <w:pPr>
        <w:pStyle w:val="ListParagraph"/>
        <w:numPr>
          <w:ilvl w:val="0"/>
          <w:numId w:val="33"/>
        </w:numPr>
        <w:contextualSpacing w:val="0"/>
        <w:rPr>
          <w:rFonts w:cs="Arial"/>
          <w:szCs w:val="24"/>
        </w:rPr>
      </w:pPr>
      <w:r w:rsidRPr="00DB7CB0">
        <w:rPr>
          <w:rFonts w:cs="Arial"/>
          <w:szCs w:val="24"/>
        </w:rPr>
        <w:t xml:space="preserve">Corman, M. and Melon, K. (2014) What counts? Managing Professionals on the Front Line of Emergency Services. In A. Griffith and D. Smith (Eds.), </w:t>
      </w:r>
      <w:r w:rsidRPr="00DB7CB0">
        <w:rPr>
          <w:rFonts w:cs="Arial"/>
          <w:i/>
          <w:szCs w:val="24"/>
        </w:rPr>
        <w:t xml:space="preserve">Under New Public Management Institutional Ethnographies of Front-Line Work </w:t>
      </w:r>
      <w:r w:rsidRPr="00DB7CB0">
        <w:rPr>
          <w:rFonts w:cs="Arial"/>
          <w:szCs w:val="24"/>
        </w:rPr>
        <w:t>(pp.148-176). Toronto. University of Toronto Press.</w:t>
      </w:r>
    </w:p>
    <w:p w14:paraId="3E682DC6" w14:textId="2AC88ADB" w:rsidR="00B2428E" w:rsidRPr="00DB7CB0" w:rsidRDefault="00581116" w:rsidP="00DB7CB0">
      <w:pPr>
        <w:pStyle w:val="ListParagraph"/>
        <w:numPr>
          <w:ilvl w:val="0"/>
          <w:numId w:val="33"/>
        </w:numPr>
        <w:contextualSpacing w:val="0"/>
        <w:rPr>
          <w:rFonts w:cs="Arial"/>
          <w:szCs w:val="24"/>
        </w:rPr>
      </w:pPr>
      <w:r w:rsidRPr="00DB7CB0">
        <w:rPr>
          <w:rFonts w:cs="Arial"/>
          <w:szCs w:val="24"/>
        </w:rPr>
        <w:lastRenderedPageBreak/>
        <w:t xml:space="preserve">O’Neill, L. (2015). Regulating Hospital Social Workers and Nurses: Propping up an “Efficient” Lean Health Care System. </w:t>
      </w:r>
      <w:r w:rsidRPr="00DB7CB0">
        <w:rPr>
          <w:rFonts w:cs="Arial"/>
          <w:i/>
          <w:szCs w:val="24"/>
        </w:rPr>
        <w:t>Studies in Political Economy,</w:t>
      </w:r>
      <w:r w:rsidRPr="00DB7CB0">
        <w:rPr>
          <w:rFonts w:cs="Arial"/>
          <w:szCs w:val="24"/>
        </w:rPr>
        <w:t xml:space="preserve"> Spring: 115-136.</w:t>
      </w:r>
    </w:p>
    <w:p w14:paraId="26B3A445" w14:textId="1CB2A018" w:rsidR="008C1E64" w:rsidRPr="00410B29" w:rsidRDefault="008C1E64" w:rsidP="00F04477">
      <w:pPr>
        <w:pStyle w:val="Heading2"/>
      </w:pPr>
      <w:r w:rsidRPr="00410B29">
        <w:t xml:space="preserve">Week 9: </w:t>
      </w:r>
      <w:bookmarkEnd w:id="51"/>
      <w:r w:rsidR="002C5B8A">
        <w:t>March 9, 2023</w:t>
      </w:r>
    </w:p>
    <w:p w14:paraId="54B1B9F7" w14:textId="77777777" w:rsidR="008C1E64" w:rsidRPr="00410B29" w:rsidRDefault="008C1E64" w:rsidP="00581116">
      <w:pPr>
        <w:pStyle w:val="Heading3"/>
      </w:pPr>
      <w:r w:rsidRPr="00410B29">
        <w:t>Topics:</w:t>
      </w:r>
    </w:p>
    <w:p w14:paraId="41381CD6" w14:textId="60DB90FF" w:rsidR="008C1E64" w:rsidRPr="003C4014" w:rsidRDefault="00581116">
      <w:pPr>
        <w:pStyle w:val="ListParagraph"/>
        <w:numPr>
          <w:ilvl w:val="0"/>
          <w:numId w:val="17"/>
        </w:numPr>
        <w:rPr>
          <w:b/>
        </w:rPr>
      </w:pPr>
      <w:r>
        <w:t>Ruling apparatus: Fiscal discipline</w:t>
      </w:r>
    </w:p>
    <w:p w14:paraId="786DAA7F" w14:textId="6F7C56FB" w:rsidR="002C5B8A" w:rsidRDefault="008C1E64" w:rsidP="00DB7CB0">
      <w:pPr>
        <w:pStyle w:val="Heading3"/>
      </w:pPr>
      <w:r w:rsidRPr="00410B29">
        <w:t>Readings:</w:t>
      </w:r>
      <w:bookmarkStart w:id="52" w:name="_Toc12350833"/>
    </w:p>
    <w:p w14:paraId="47E9A59C" w14:textId="2C87FFD0" w:rsidR="00581116" w:rsidRDefault="00581116" w:rsidP="00DB7CB0">
      <w:pPr>
        <w:pStyle w:val="ListParagraph"/>
        <w:numPr>
          <w:ilvl w:val="0"/>
          <w:numId w:val="34"/>
        </w:numPr>
        <w:contextualSpacing w:val="0"/>
      </w:pPr>
      <w:r>
        <w:t xml:space="preserve">Cunningham, I., Baines, D., Shields, J. &amp; Lewchuk, W. </w:t>
      </w:r>
      <w:r w:rsidRPr="00F649AD">
        <w:t>(201</w:t>
      </w:r>
      <w:r>
        <w:t>6</w:t>
      </w:r>
      <w:r w:rsidRPr="00F649AD">
        <w:t>). Austerity</w:t>
      </w:r>
      <w:r>
        <w:t xml:space="preserve"> policies, “precarity” and the nonprofit workforce: A comparative study of UK and Canada. </w:t>
      </w:r>
      <w:r w:rsidRPr="00DB7CB0">
        <w:rPr>
          <w:i/>
        </w:rPr>
        <w:t>Journal of Industrial Relations,</w:t>
      </w:r>
      <w:r>
        <w:t xml:space="preserve">  58(4) 455-472.</w:t>
      </w:r>
    </w:p>
    <w:p w14:paraId="69831C39" w14:textId="77777777" w:rsidR="00581116" w:rsidRPr="00DB7CB0" w:rsidRDefault="00581116" w:rsidP="00DB7CB0">
      <w:pPr>
        <w:pStyle w:val="ListParagraph"/>
        <w:numPr>
          <w:ilvl w:val="0"/>
          <w:numId w:val="34"/>
        </w:numPr>
        <w:contextualSpacing w:val="0"/>
        <w:rPr>
          <w:color w:val="000000" w:themeColor="text1"/>
        </w:rPr>
      </w:pPr>
      <w:r>
        <w:t>E</w:t>
      </w:r>
      <w:r w:rsidRPr="00F649AD">
        <w:t xml:space="preserve">akin, L. (2007). We Can’t Afford To Do Business This Way: A Study of Administrative Burden Resulting from Funder Accountability and Compliance Practices. Toronto: </w:t>
      </w:r>
      <w:r w:rsidRPr="00DB7CB0">
        <w:rPr>
          <w:color w:val="000000" w:themeColor="text1"/>
        </w:rPr>
        <w:t>Wellesley Institute. (Executive summary, 5pp.).</w:t>
      </w:r>
    </w:p>
    <w:p w14:paraId="59E52437" w14:textId="1021C223" w:rsidR="002C5B8A" w:rsidRPr="00DB7CB0" w:rsidRDefault="00581116" w:rsidP="00DB7CB0">
      <w:pPr>
        <w:pStyle w:val="ListParagraph"/>
        <w:numPr>
          <w:ilvl w:val="0"/>
          <w:numId w:val="34"/>
        </w:numPr>
        <w:contextualSpacing w:val="0"/>
        <w:rPr>
          <w:rFonts w:cs="Arial"/>
          <w:b/>
          <w:color w:val="000000" w:themeColor="text1"/>
          <w:szCs w:val="24"/>
        </w:rPr>
      </w:pPr>
      <w:r w:rsidRPr="00DB7CB0">
        <w:rPr>
          <w:rFonts w:cs="Arial"/>
          <w:color w:val="000000" w:themeColor="text1"/>
          <w:szCs w:val="24"/>
          <w:shd w:val="clear" w:color="auto" w:fill="FFFFFF"/>
        </w:rPr>
        <w:t>Yalnizyan, A. (2005). </w:t>
      </w:r>
      <w:r w:rsidRPr="00DB7CB0">
        <w:rPr>
          <w:rFonts w:cs="Arial"/>
          <w:i/>
          <w:iCs/>
          <w:color w:val="000000" w:themeColor="text1"/>
          <w:szCs w:val="24"/>
          <w:shd w:val="clear" w:color="auto" w:fill="FFFFFF"/>
        </w:rPr>
        <w:t>Canada’s commitment to equality a gender analysis of the last ten federal budgets (1995-2004)</w:t>
      </w:r>
      <w:r w:rsidRPr="00DB7CB0">
        <w:rPr>
          <w:rFonts w:cs="Arial"/>
          <w:color w:val="000000" w:themeColor="text1"/>
          <w:szCs w:val="24"/>
          <w:shd w:val="clear" w:color="auto" w:fill="FFFFFF"/>
        </w:rPr>
        <w:t>. Canadian Feminist Alliance for International Action</w:t>
      </w:r>
    </w:p>
    <w:p w14:paraId="1AB6430B" w14:textId="67DE6568" w:rsidR="00581116" w:rsidRPr="00DB7CB0" w:rsidRDefault="00581116" w:rsidP="00DB7CB0">
      <w:pPr>
        <w:pStyle w:val="ListParagraph"/>
        <w:numPr>
          <w:ilvl w:val="0"/>
          <w:numId w:val="34"/>
        </w:numPr>
        <w:contextualSpacing w:val="0"/>
        <w:rPr>
          <w:rFonts w:cs="Arial"/>
          <w:b/>
          <w:szCs w:val="24"/>
        </w:rPr>
      </w:pPr>
      <w:r w:rsidRPr="00DB7CB0">
        <w:rPr>
          <w:color w:val="000000" w:themeColor="text1"/>
        </w:rPr>
        <w:t xml:space="preserve">McCoy, L. (2014). “If our statistics are bad we don’t get paid” Outcome Measures in the </w:t>
      </w:r>
      <w:r w:rsidRPr="00636708">
        <w:t xml:space="preserve">Settlement Sector. In A. Griffith and D. Smith (Eds.), </w:t>
      </w:r>
      <w:r w:rsidRPr="00DB7CB0">
        <w:rPr>
          <w:i/>
        </w:rPr>
        <w:t xml:space="preserve">Under New Public Management Institutional Ethnographies of Front-Line Work </w:t>
      </w:r>
      <w:r w:rsidRPr="00536180">
        <w:t>(pp.234-248). Toronto. University of Toronto Press.</w:t>
      </w:r>
    </w:p>
    <w:p w14:paraId="32A56777" w14:textId="5F8352A8" w:rsidR="002C5B8A" w:rsidRPr="002C5B8A" w:rsidRDefault="00581116" w:rsidP="00DB7CB0">
      <w:pPr>
        <w:pStyle w:val="Heading3"/>
      </w:pPr>
      <w:r>
        <w:t>Additional Suggested Readings:</w:t>
      </w:r>
    </w:p>
    <w:p w14:paraId="3498C7AE" w14:textId="77777777" w:rsidR="00581116" w:rsidRDefault="00581116" w:rsidP="00DB7CB0">
      <w:pPr>
        <w:pStyle w:val="ListParagraph"/>
        <w:numPr>
          <w:ilvl w:val="0"/>
          <w:numId w:val="35"/>
        </w:numPr>
        <w:contextualSpacing w:val="0"/>
      </w:pPr>
      <w:r>
        <w:t>Gibson, K., O’Donnell, S. &amp;</w:t>
      </w:r>
      <w:r w:rsidRPr="001759FA">
        <w:t xml:space="preserve"> Rideout, V. (2007). The Project-Funding Regime: Complications for Community Organizations and Their Staff. </w:t>
      </w:r>
      <w:r w:rsidRPr="00DB7CB0">
        <w:rPr>
          <w:i/>
        </w:rPr>
        <w:t>Canadian Public Administration, 50</w:t>
      </w:r>
      <w:r>
        <w:t>(3),</w:t>
      </w:r>
      <w:r w:rsidRPr="001759FA">
        <w:t xml:space="preserve"> 411-435.</w:t>
      </w:r>
    </w:p>
    <w:p w14:paraId="643124A4" w14:textId="77777777" w:rsidR="00581116" w:rsidRDefault="00581116" w:rsidP="00DB7CB0">
      <w:pPr>
        <w:pStyle w:val="ListParagraph"/>
        <w:numPr>
          <w:ilvl w:val="0"/>
          <w:numId w:val="35"/>
        </w:numPr>
        <w:contextualSpacing w:val="0"/>
      </w:pPr>
      <w:r w:rsidRPr="001759FA">
        <w:t xml:space="preserve">Teram, E. (2010). Organizational Change within Morally Ambiguous Contexts: A Case Study of Conflicting Post-merger Discourses. </w:t>
      </w:r>
      <w:r w:rsidRPr="00DB7CB0">
        <w:rPr>
          <w:i/>
        </w:rPr>
        <w:t>Journal of Applied Behavioural Science</w:t>
      </w:r>
      <w:r w:rsidRPr="001759FA">
        <w:t xml:space="preserve"> 46 (1): 38-54.</w:t>
      </w:r>
    </w:p>
    <w:p w14:paraId="062A2ABD" w14:textId="3D58BBF0" w:rsidR="00581116" w:rsidRPr="00DB7CB0" w:rsidRDefault="00581116" w:rsidP="00DB7CB0">
      <w:pPr>
        <w:pStyle w:val="ListParagraph"/>
        <w:numPr>
          <w:ilvl w:val="0"/>
          <w:numId w:val="35"/>
        </w:numPr>
        <w:contextualSpacing w:val="0"/>
        <w:rPr>
          <w:rFonts w:cs="Arial"/>
          <w:szCs w:val="24"/>
        </w:rPr>
      </w:pPr>
      <w:r w:rsidRPr="00DB7CB0">
        <w:rPr>
          <w:rFonts w:cs="Arial"/>
          <w:szCs w:val="24"/>
        </w:rPr>
        <w:t xml:space="preserve">Adkins, L. (2019). Work in the shadow of finance: Rethinking Joan Acker's materialist feminist sociology </w:t>
      </w:r>
      <w:r w:rsidRPr="00DB7CB0">
        <w:rPr>
          <w:rFonts w:cs="Arial"/>
          <w:i/>
          <w:szCs w:val="24"/>
        </w:rPr>
        <w:t>Gender Work Organ</w:t>
      </w:r>
      <w:r w:rsidRPr="00DB7CB0">
        <w:rPr>
          <w:rFonts w:cs="Arial"/>
          <w:szCs w:val="24"/>
        </w:rPr>
        <w:t xml:space="preserve">., 26:1776–1785. </w:t>
      </w:r>
    </w:p>
    <w:p w14:paraId="5BDE2C5A" w14:textId="7FBC48B9" w:rsidR="008C1E64" w:rsidRPr="00410B29" w:rsidRDefault="008C1E64" w:rsidP="00F04477">
      <w:pPr>
        <w:pStyle w:val="Heading2"/>
      </w:pPr>
      <w:r w:rsidRPr="00410B29">
        <w:lastRenderedPageBreak/>
        <w:t xml:space="preserve">Week 10: </w:t>
      </w:r>
      <w:bookmarkEnd w:id="52"/>
      <w:r w:rsidR="002C5B8A">
        <w:t xml:space="preserve">March </w:t>
      </w:r>
      <w:r w:rsidR="002F587E">
        <w:t>16</w:t>
      </w:r>
      <w:r w:rsidR="002C5B8A">
        <w:t>, 2023</w:t>
      </w:r>
    </w:p>
    <w:p w14:paraId="75584DA9" w14:textId="72B1BA75" w:rsidR="008C1E64" w:rsidRDefault="008C1E64" w:rsidP="00581116">
      <w:pPr>
        <w:pStyle w:val="Heading3"/>
      </w:pPr>
      <w:r w:rsidRPr="00410B29">
        <w:t>Topics:</w:t>
      </w:r>
    </w:p>
    <w:p w14:paraId="1BB2B009" w14:textId="0044FF3C" w:rsidR="000A546F" w:rsidRPr="000A546F" w:rsidRDefault="000A546F">
      <w:pPr>
        <w:pStyle w:val="ListParagraph"/>
        <w:numPr>
          <w:ilvl w:val="3"/>
          <w:numId w:val="17"/>
        </w:numPr>
      </w:pPr>
      <w:r>
        <w:t xml:space="preserve">Ruling apparatus: Risk and ethical challenges </w:t>
      </w:r>
      <w:r w:rsidRPr="002C5B8A">
        <w:t>in a Covid-19 era</w:t>
      </w:r>
    </w:p>
    <w:p w14:paraId="4276A0A9" w14:textId="6B7ACEB7" w:rsidR="002C5B8A" w:rsidRPr="002C5B8A" w:rsidRDefault="008C1E64" w:rsidP="00DB7CB0">
      <w:pPr>
        <w:pStyle w:val="Heading3"/>
      </w:pPr>
      <w:r w:rsidRPr="00410B29">
        <w:t>Readings:</w:t>
      </w:r>
    </w:p>
    <w:p w14:paraId="4F922CEC" w14:textId="77777777" w:rsidR="000A546F" w:rsidRPr="00DB7CB0" w:rsidRDefault="000A546F" w:rsidP="00DB7CB0">
      <w:pPr>
        <w:pStyle w:val="ListParagraph"/>
        <w:numPr>
          <w:ilvl w:val="0"/>
          <w:numId w:val="36"/>
        </w:numPr>
        <w:contextualSpacing w:val="0"/>
        <w:rPr>
          <w:rFonts w:cs="Arial"/>
          <w:szCs w:val="24"/>
        </w:rPr>
      </w:pPr>
      <w:r w:rsidRPr="00DB7CB0">
        <w:rPr>
          <w:rFonts w:cs="Arial"/>
          <w:bCs/>
          <w:color w:val="000000"/>
          <w:szCs w:val="24"/>
        </w:rPr>
        <w:t>Banks, S. et al. (2020). Practising ethically during COVID-19: Social work challenges</w:t>
      </w:r>
      <w:r w:rsidRPr="00DB7CB0">
        <w:rPr>
          <w:rFonts w:cs="Arial"/>
          <w:bCs/>
          <w:szCs w:val="24"/>
        </w:rPr>
        <w:t xml:space="preserve"> and responses </w:t>
      </w:r>
      <w:r w:rsidRPr="00DB7CB0">
        <w:rPr>
          <w:rFonts w:cs="Arial"/>
          <w:bCs/>
          <w:i/>
          <w:szCs w:val="24"/>
        </w:rPr>
        <w:t>I</w:t>
      </w:r>
      <w:r w:rsidRPr="00DB7CB0">
        <w:rPr>
          <w:rFonts w:cs="Arial"/>
          <w:i/>
          <w:iCs/>
          <w:szCs w:val="24"/>
        </w:rPr>
        <w:t>nternational Social Work</w:t>
      </w:r>
      <w:r w:rsidRPr="00DB7CB0">
        <w:rPr>
          <w:rFonts w:cs="Arial"/>
          <w:szCs w:val="24"/>
        </w:rPr>
        <w:t xml:space="preserve">, 63(5) 569–583. </w:t>
      </w:r>
    </w:p>
    <w:p w14:paraId="647AC6B0" w14:textId="615921DD" w:rsidR="002C5B8A" w:rsidRPr="00DB7CB0" w:rsidRDefault="000A546F" w:rsidP="00DB7CB0">
      <w:pPr>
        <w:pStyle w:val="ListParagraph"/>
        <w:numPr>
          <w:ilvl w:val="0"/>
          <w:numId w:val="36"/>
        </w:numPr>
        <w:contextualSpacing w:val="0"/>
        <w:rPr>
          <w:rFonts w:cs="Arial"/>
          <w:color w:val="000000" w:themeColor="text1"/>
          <w:szCs w:val="24"/>
        </w:rPr>
      </w:pPr>
      <w:bookmarkStart w:id="53" w:name="_Toc12350834"/>
      <w:r w:rsidRPr="00DB7CB0">
        <w:rPr>
          <w:rFonts w:cs="Arial"/>
          <w:color w:val="000000" w:themeColor="text1"/>
        </w:rPr>
        <w:t xml:space="preserve">Cook, L.L.  &amp; Zschomler, D. (2020). Virtual Home Visits during the COVID-19 Pandemic: Social Workers’ Perspectives. 2020 </w:t>
      </w:r>
      <w:r w:rsidRPr="00DB7CB0">
        <w:rPr>
          <w:rFonts w:cs="Arial"/>
          <w:i/>
          <w:color w:val="000000" w:themeColor="text1"/>
        </w:rPr>
        <w:t>British Association of Social Workers</w:t>
      </w:r>
      <w:r w:rsidRPr="00DB7CB0">
        <w:rPr>
          <w:rFonts w:cs="Arial"/>
          <w:color w:val="000000" w:themeColor="text1"/>
        </w:rPr>
        <w:t xml:space="preserve">. Practice: Social Work in Action, 21, 5.  </w:t>
      </w:r>
    </w:p>
    <w:p w14:paraId="76494A8F" w14:textId="3374FDF8" w:rsidR="002C5B8A" w:rsidRPr="00DB7CB0" w:rsidRDefault="000A546F" w:rsidP="00DB7CB0">
      <w:pPr>
        <w:pStyle w:val="ListParagraph"/>
        <w:numPr>
          <w:ilvl w:val="0"/>
          <w:numId w:val="36"/>
        </w:numPr>
        <w:contextualSpacing w:val="0"/>
        <w:rPr>
          <w:rFonts w:cs="Arial"/>
          <w:b/>
          <w:color w:val="000000" w:themeColor="text1"/>
          <w:szCs w:val="24"/>
        </w:rPr>
      </w:pPr>
      <w:r w:rsidRPr="00DB7CB0">
        <w:rPr>
          <w:rFonts w:cs="Arial"/>
          <w:color w:val="000000" w:themeColor="text1"/>
          <w:szCs w:val="24"/>
          <w:shd w:val="clear" w:color="auto" w:fill="FFFFFF"/>
        </w:rPr>
        <w:t>Jean-Jacques, M., &amp; Bauchner, H. (2021). Vaccine Distribution—Equity Left Behind? </w:t>
      </w:r>
      <w:r w:rsidRPr="00DB7CB0">
        <w:rPr>
          <w:rFonts w:cs="Arial"/>
          <w:i/>
          <w:iCs/>
          <w:color w:val="000000" w:themeColor="text1"/>
          <w:szCs w:val="24"/>
          <w:shd w:val="clear" w:color="auto" w:fill="FFFFFF"/>
        </w:rPr>
        <w:t>JAMA : the Journal of the American Medical Association</w:t>
      </w:r>
      <w:r w:rsidRPr="00DB7CB0">
        <w:rPr>
          <w:rFonts w:cs="Arial"/>
          <w:color w:val="000000" w:themeColor="text1"/>
          <w:szCs w:val="24"/>
          <w:shd w:val="clear" w:color="auto" w:fill="FFFFFF"/>
        </w:rPr>
        <w:t>, </w:t>
      </w:r>
      <w:r w:rsidRPr="00DB7CB0">
        <w:rPr>
          <w:rFonts w:cs="Arial"/>
          <w:i/>
          <w:iCs/>
          <w:color w:val="000000" w:themeColor="text1"/>
          <w:szCs w:val="24"/>
          <w:shd w:val="clear" w:color="auto" w:fill="FFFFFF"/>
        </w:rPr>
        <w:t>325</w:t>
      </w:r>
      <w:r w:rsidRPr="00DB7CB0">
        <w:rPr>
          <w:rFonts w:cs="Arial"/>
          <w:color w:val="000000" w:themeColor="text1"/>
          <w:szCs w:val="24"/>
          <w:shd w:val="clear" w:color="auto" w:fill="FFFFFF"/>
        </w:rPr>
        <w:t>(9), 829–830. https://doi.org/10.1001/jama.2021.1205</w:t>
      </w:r>
    </w:p>
    <w:p w14:paraId="2EA207B8" w14:textId="2A3FCF0A" w:rsidR="002C5B8A" w:rsidRPr="00DB7CB0" w:rsidRDefault="000A546F" w:rsidP="00DB7CB0">
      <w:pPr>
        <w:pStyle w:val="ListParagraph"/>
        <w:numPr>
          <w:ilvl w:val="0"/>
          <w:numId w:val="36"/>
        </w:numPr>
        <w:contextualSpacing w:val="0"/>
        <w:rPr>
          <w:rFonts w:cs="Arial"/>
          <w:color w:val="000000" w:themeColor="text1"/>
          <w:szCs w:val="24"/>
        </w:rPr>
      </w:pPr>
      <w:r w:rsidRPr="00DB7CB0">
        <w:rPr>
          <w:rFonts w:cs="Arial"/>
          <w:color w:val="000000" w:themeColor="text1"/>
          <w:sz w:val="23"/>
          <w:szCs w:val="23"/>
          <w:shd w:val="clear" w:color="auto" w:fill="FFFFFF"/>
        </w:rPr>
        <w:t>Nissen, L. (2020). Social Work and the Future in a Post-Covid 19 World: A Foresight Lens and a Call to Action for the Profession. </w:t>
      </w:r>
      <w:r w:rsidRPr="00DB7CB0">
        <w:rPr>
          <w:rFonts w:cs="Arial"/>
          <w:i/>
          <w:iCs/>
          <w:color w:val="000000" w:themeColor="text1"/>
          <w:sz w:val="23"/>
          <w:szCs w:val="23"/>
          <w:shd w:val="clear" w:color="auto" w:fill="FFFFFF"/>
        </w:rPr>
        <w:t>Journal of Technology in Human Services</w:t>
      </w:r>
      <w:r w:rsidRPr="00DB7CB0">
        <w:rPr>
          <w:rFonts w:cs="Arial"/>
          <w:color w:val="000000" w:themeColor="text1"/>
          <w:sz w:val="23"/>
          <w:szCs w:val="23"/>
          <w:shd w:val="clear" w:color="auto" w:fill="FFFFFF"/>
        </w:rPr>
        <w:t>, </w:t>
      </w:r>
      <w:r w:rsidRPr="00DB7CB0">
        <w:rPr>
          <w:rFonts w:cs="Arial"/>
          <w:i/>
          <w:iCs/>
          <w:color w:val="000000" w:themeColor="text1"/>
          <w:sz w:val="23"/>
          <w:szCs w:val="23"/>
          <w:shd w:val="clear" w:color="auto" w:fill="FFFFFF"/>
        </w:rPr>
        <w:t>38</w:t>
      </w:r>
      <w:r w:rsidRPr="00DB7CB0">
        <w:rPr>
          <w:rFonts w:cs="Arial"/>
          <w:color w:val="000000" w:themeColor="text1"/>
          <w:sz w:val="23"/>
          <w:szCs w:val="23"/>
          <w:shd w:val="clear" w:color="auto" w:fill="FFFFFF"/>
        </w:rPr>
        <w:t xml:space="preserve">(4), 309–330. </w:t>
      </w:r>
      <w:hyperlink r:id="rId27" w:history="1">
        <w:r w:rsidRPr="00DB7CB0">
          <w:rPr>
            <w:rStyle w:val="Hyperlink"/>
            <w:rFonts w:cs="Arial"/>
            <w:color w:val="000000" w:themeColor="text1"/>
            <w:sz w:val="23"/>
            <w:szCs w:val="23"/>
            <w:shd w:val="clear" w:color="auto" w:fill="FFFFFF"/>
          </w:rPr>
          <w:t>https://doi.org/10.1080/15228835.2020.1796892</w:t>
        </w:r>
      </w:hyperlink>
    </w:p>
    <w:p w14:paraId="3BC2EFCF" w14:textId="47CA155A" w:rsidR="000A546F" w:rsidRPr="00DB7CB0" w:rsidRDefault="000A546F" w:rsidP="00DB7CB0">
      <w:pPr>
        <w:pStyle w:val="ListParagraph"/>
        <w:numPr>
          <w:ilvl w:val="0"/>
          <w:numId w:val="36"/>
        </w:numPr>
        <w:contextualSpacing w:val="0"/>
        <w:rPr>
          <w:rFonts w:cs="Arial"/>
          <w:color w:val="000000" w:themeColor="text1"/>
          <w:szCs w:val="24"/>
        </w:rPr>
      </w:pPr>
      <w:r w:rsidRPr="00DB7CB0">
        <w:rPr>
          <w:rFonts w:cs="Arial"/>
          <w:color w:val="000000" w:themeColor="text1"/>
          <w:sz w:val="23"/>
          <w:szCs w:val="23"/>
          <w:shd w:val="clear" w:color="auto" w:fill="FFFFFF"/>
        </w:rPr>
        <w:t>McKenzie, K. (2021). Socio-demographic data collection and equity in covid-19 in Toronto. </w:t>
      </w:r>
      <w:r w:rsidRPr="00DB7CB0">
        <w:rPr>
          <w:rFonts w:cs="Arial"/>
          <w:i/>
          <w:iCs/>
          <w:color w:val="000000" w:themeColor="text1"/>
          <w:sz w:val="23"/>
          <w:szCs w:val="23"/>
          <w:shd w:val="clear" w:color="auto" w:fill="FFFFFF"/>
        </w:rPr>
        <w:t>EClinicalMedicine</w:t>
      </w:r>
      <w:r w:rsidRPr="00DB7CB0">
        <w:rPr>
          <w:rFonts w:cs="Arial"/>
          <w:color w:val="000000" w:themeColor="text1"/>
          <w:sz w:val="23"/>
          <w:szCs w:val="23"/>
          <w:shd w:val="clear" w:color="auto" w:fill="FFFFFF"/>
        </w:rPr>
        <w:t>, </w:t>
      </w:r>
      <w:r w:rsidRPr="00DB7CB0">
        <w:rPr>
          <w:rFonts w:cs="Arial"/>
          <w:i/>
          <w:iCs/>
          <w:color w:val="000000" w:themeColor="text1"/>
          <w:sz w:val="23"/>
          <w:szCs w:val="23"/>
          <w:shd w:val="clear" w:color="auto" w:fill="FFFFFF"/>
        </w:rPr>
        <w:t>34</w:t>
      </w:r>
      <w:r w:rsidRPr="00DB7CB0">
        <w:rPr>
          <w:rFonts w:cs="Arial"/>
          <w:color w:val="000000" w:themeColor="text1"/>
          <w:sz w:val="23"/>
          <w:szCs w:val="23"/>
          <w:shd w:val="clear" w:color="auto" w:fill="FFFFFF"/>
        </w:rPr>
        <w:t xml:space="preserve">, 100812–100812. </w:t>
      </w:r>
      <w:hyperlink r:id="rId28" w:history="1">
        <w:r w:rsidRPr="00DB7CB0">
          <w:rPr>
            <w:rStyle w:val="Hyperlink"/>
            <w:rFonts w:cs="Arial"/>
            <w:color w:val="000000" w:themeColor="text1"/>
            <w:sz w:val="23"/>
            <w:szCs w:val="23"/>
            <w:shd w:val="clear" w:color="auto" w:fill="FFFFFF"/>
          </w:rPr>
          <w:t>https://doi.org/10.1016/j.eclinm.2021.100812</w:t>
        </w:r>
      </w:hyperlink>
    </w:p>
    <w:p w14:paraId="36C8F458" w14:textId="6CF67218" w:rsidR="002C5B8A" w:rsidRDefault="000A546F" w:rsidP="00DB7CB0">
      <w:pPr>
        <w:pStyle w:val="Heading3"/>
      </w:pPr>
      <w:r w:rsidRPr="002C5B8A">
        <w:t>Additional Suggested Readings:</w:t>
      </w:r>
    </w:p>
    <w:p w14:paraId="6FC52DE8" w14:textId="7272BCFC" w:rsidR="000A546F" w:rsidRDefault="000A546F" w:rsidP="00DB7CB0">
      <w:pPr>
        <w:pStyle w:val="ListParagraph"/>
        <w:numPr>
          <w:ilvl w:val="0"/>
          <w:numId w:val="37"/>
        </w:numPr>
        <w:contextualSpacing w:val="0"/>
      </w:pPr>
      <w:r w:rsidRPr="00F649AD">
        <w:t xml:space="preserve">Stanford, S. (2008). Taking a stand or playing it safe?: resisting the moral conservatism of risk in social work practice. </w:t>
      </w:r>
      <w:r w:rsidRPr="00DB7CB0">
        <w:rPr>
          <w:i/>
        </w:rPr>
        <w:t>European Journal of Social Work, 11</w:t>
      </w:r>
      <w:r w:rsidRPr="00F649AD">
        <w:t>(3), 209-220</w:t>
      </w:r>
      <w:r>
        <w:t>.</w:t>
      </w:r>
    </w:p>
    <w:p w14:paraId="7A7F09C6" w14:textId="77777777" w:rsidR="000A546F" w:rsidRDefault="000A546F" w:rsidP="00DB7CB0">
      <w:pPr>
        <w:pStyle w:val="ListParagraph"/>
        <w:numPr>
          <w:ilvl w:val="0"/>
          <w:numId w:val="37"/>
        </w:numPr>
        <w:contextualSpacing w:val="0"/>
      </w:pPr>
      <w:r w:rsidRPr="0034150F">
        <w:t xml:space="preserve">Swift, K. and Callahan, M. (2009). The </w:t>
      </w:r>
      <w:r>
        <w:t>social relations of risk.</w:t>
      </w:r>
      <w:r w:rsidRPr="0034150F">
        <w:t xml:space="preserve"> In K. S</w:t>
      </w:r>
      <w:r>
        <w:t>wift &amp; M. Callahan</w:t>
      </w:r>
      <w:r w:rsidRPr="0034150F">
        <w:t xml:space="preserve"> (Ed</w:t>
      </w:r>
      <w:r>
        <w:t>s.),</w:t>
      </w:r>
      <w:r w:rsidRPr="0034150F">
        <w:t xml:space="preserve"> </w:t>
      </w:r>
      <w:r w:rsidRPr="00DB7CB0">
        <w:rPr>
          <w:i/>
        </w:rPr>
        <w:t>At Risk: Social Justice in Child Welfare and Other Human Services</w:t>
      </w:r>
      <w:r>
        <w:t xml:space="preserve"> (pp. 16-40)</w:t>
      </w:r>
      <w:r w:rsidRPr="0034150F">
        <w:t>. Toront</w:t>
      </w:r>
      <w:r>
        <w:t>o: University of Toronto Press.</w:t>
      </w:r>
    </w:p>
    <w:p w14:paraId="72A03606" w14:textId="0A50E9E0" w:rsidR="000A546F" w:rsidRPr="00DB7CB0" w:rsidRDefault="000A546F" w:rsidP="000A546F">
      <w:pPr>
        <w:pStyle w:val="ListParagraph"/>
        <w:numPr>
          <w:ilvl w:val="0"/>
          <w:numId w:val="37"/>
        </w:numPr>
        <w:contextualSpacing w:val="0"/>
      </w:pPr>
      <w:r w:rsidRPr="0034150F">
        <w:t>Swift, K. and Callahan, M. (2009). The Entrenchment of Risk Assessment in Human Services</w:t>
      </w:r>
      <w:r>
        <w:t>. In K. Swift &amp; M. Callahan</w:t>
      </w:r>
      <w:r w:rsidRPr="0034150F">
        <w:t xml:space="preserve"> (Ed</w:t>
      </w:r>
      <w:r>
        <w:t>s.),</w:t>
      </w:r>
      <w:r w:rsidRPr="0034150F">
        <w:t xml:space="preserve"> </w:t>
      </w:r>
      <w:r w:rsidRPr="00DB7CB0">
        <w:rPr>
          <w:i/>
        </w:rPr>
        <w:t>At Risk: Social Justice in Child Welfare and Other Human Services</w:t>
      </w:r>
      <w:r>
        <w:t xml:space="preserve"> (</w:t>
      </w:r>
      <w:r w:rsidRPr="0034150F">
        <w:t>pp.</w:t>
      </w:r>
      <w:r>
        <w:t xml:space="preserve"> </w:t>
      </w:r>
      <w:r w:rsidRPr="0034150F">
        <w:t>86-113</w:t>
      </w:r>
      <w:r>
        <w:t>)</w:t>
      </w:r>
      <w:r w:rsidRPr="0034150F">
        <w:t>. Toronto: University of Tor</w:t>
      </w:r>
      <w:r>
        <w:t>onto Press.</w:t>
      </w:r>
    </w:p>
    <w:p w14:paraId="380B74F4" w14:textId="0256F0E9" w:rsidR="008C1E64" w:rsidRPr="00410B29" w:rsidRDefault="008C1E64" w:rsidP="00F04477">
      <w:pPr>
        <w:pStyle w:val="Heading2"/>
      </w:pPr>
      <w:r w:rsidRPr="00410B29">
        <w:lastRenderedPageBreak/>
        <w:t xml:space="preserve">Week 11: </w:t>
      </w:r>
      <w:bookmarkEnd w:id="53"/>
      <w:r w:rsidR="002C5B8A">
        <w:t xml:space="preserve">March </w:t>
      </w:r>
      <w:r w:rsidR="002F587E">
        <w:t>23</w:t>
      </w:r>
      <w:r w:rsidR="002C5B8A">
        <w:t>, 2023</w:t>
      </w:r>
    </w:p>
    <w:p w14:paraId="2A92948D" w14:textId="77777777" w:rsidR="008C1E64" w:rsidRPr="003C4014" w:rsidRDefault="008C1E64" w:rsidP="00581116">
      <w:pPr>
        <w:pStyle w:val="Heading3"/>
        <w:rPr>
          <w:b/>
        </w:rPr>
      </w:pPr>
      <w:r w:rsidRPr="003C4014">
        <w:t>Topics:</w:t>
      </w:r>
    </w:p>
    <w:p w14:paraId="5459ABE1" w14:textId="54AF2980" w:rsidR="008C1E64" w:rsidRPr="002C5B8A" w:rsidRDefault="000A546F">
      <w:pPr>
        <w:pStyle w:val="ListParagraph"/>
        <w:numPr>
          <w:ilvl w:val="0"/>
          <w:numId w:val="18"/>
        </w:numPr>
        <w:rPr>
          <w:b/>
        </w:rPr>
      </w:pPr>
      <w:r w:rsidRPr="002C5B8A">
        <w:t>Possibilities for reflection and resistance</w:t>
      </w:r>
    </w:p>
    <w:p w14:paraId="0F23BB98" w14:textId="6072FD75" w:rsidR="008C1E64" w:rsidRPr="002C5B8A" w:rsidRDefault="000A546F">
      <w:pPr>
        <w:pStyle w:val="ListParagraph"/>
        <w:numPr>
          <w:ilvl w:val="0"/>
          <w:numId w:val="18"/>
        </w:numPr>
        <w:rPr>
          <w:b/>
        </w:rPr>
      </w:pPr>
      <w:r w:rsidRPr="002C5B8A">
        <w:t>Interrogating ‘resilience’ in social service organizations</w:t>
      </w:r>
    </w:p>
    <w:p w14:paraId="3672656B" w14:textId="587E47E6" w:rsidR="0055093F" w:rsidRPr="002C5B8A" w:rsidRDefault="0055093F">
      <w:pPr>
        <w:pStyle w:val="ListParagraph"/>
        <w:numPr>
          <w:ilvl w:val="0"/>
          <w:numId w:val="18"/>
        </w:numPr>
        <w:rPr>
          <w:b/>
        </w:rPr>
      </w:pPr>
      <w:r w:rsidRPr="002C5B8A">
        <w:t xml:space="preserve">Guest Speaker: </w:t>
      </w:r>
      <w:r w:rsidR="000B1661">
        <w:t xml:space="preserve">TBC - </w:t>
      </w:r>
      <w:r w:rsidR="002C5B8A" w:rsidRPr="002C5B8A">
        <w:t>Tammy Hill</w:t>
      </w:r>
    </w:p>
    <w:p w14:paraId="58975543" w14:textId="09861E13" w:rsidR="002C5B8A" w:rsidRDefault="008C1E64" w:rsidP="00DB7CB0">
      <w:pPr>
        <w:pStyle w:val="Heading3"/>
      </w:pPr>
      <w:r w:rsidRPr="00410B29">
        <w:t>Readings:</w:t>
      </w:r>
    </w:p>
    <w:p w14:paraId="74EB2A64" w14:textId="0242D2A2" w:rsidR="0055093F" w:rsidRPr="00F649AD" w:rsidRDefault="0055093F" w:rsidP="00DB7CB0">
      <w:pPr>
        <w:pStyle w:val="ListParagraph"/>
        <w:numPr>
          <w:ilvl w:val="0"/>
          <w:numId w:val="38"/>
        </w:numPr>
        <w:contextualSpacing w:val="0"/>
      </w:pPr>
      <w:r>
        <w:t>Carey, M. &amp;</w:t>
      </w:r>
      <w:r w:rsidRPr="00F649AD">
        <w:t xml:space="preserve"> Foster, V. (2011)</w:t>
      </w:r>
      <w:r>
        <w:t>.</w:t>
      </w:r>
      <w:r w:rsidRPr="00F649AD">
        <w:t xml:space="preserve"> Introducing ‘Deviant’ Social Work: Contextualizing the Limits of Radical Social Work whilst Understanding (Fragmented) Resistance within the Social Work Labour Process. </w:t>
      </w:r>
      <w:r w:rsidRPr="00DB7CB0">
        <w:rPr>
          <w:i/>
        </w:rPr>
        <w:t>British Journal of Social Work, 41</w:t>
      </w:r>
      <w:r>
        <w:t>(3)</w:t>
      </w:r>
      <w:r w:rsidRPr="00F649AD">
        <w:t>, 576–593.</w:t>
      </w:r>
    </w:p>
    <w:p w14:paraId="776D3EF3" w14:textId="77777777" w:rsidR="0055093F" w:rsidRPr="002C5B8A" w:rsidRDefault="0055093F" w:rsidP="00DB7CB0">
      <w:pPr>
        <w:pStyle w:val="ListParagraph"/>
        <w:numPr>
          <w:ilvl w:val="0"/>
          <w:numId w:val="38"/>
        </w:numPr>
        <w:contextualSpacing w:val="0"/>
      </w:pPr>
      <w:r w:rsidRPr="00F649AD">
        <w:t xml:space="preserve">Baines, D. </w:t>
      </w:r>
      <w:r>
        <w:t>(2016</w:t>
      </w:r>
      <w:r w:rsidRPr="00F649AD">
        <w:t xml:space="preserve">). </w:t>
      </w:r>
      <w:r>
        <w:t xml:space="preserve">Moral projects and compromise resistance: resisting uncaring in </w:t>
      </w:r>
      <w:r w:rsidRPr="002C5B8A">
        <w:t xml:space="preserve">nonprofit care work. </w:t>
      </w:r>
      <w:r w:rsidRPr="00DB7CB0">
        <w:rPr>
          <w:i/>
        </w:rPr>
        <w:t xml:space="preserve">Studies in Political Economy, </w:t>
      </w:r>
      <w:r w:rsidRPr="002C5B8A">
        <w:t>97(2), 124-142.</w:t>
      </w:r>
      <w:bookmarkStart w:id="54" w:name="_Toc12350835"/>
    </w:p>
    <w:p w14:paraId="53A6ABB4" w14:textId="1395DDDE" w:rsidR="0055093F" w:rsidRPr="00DB7CB0" w:rsidRDefault="0055093F" w:rsidP="00DB7CB0">
      <w:pPr>
        <w:pStyle w:val="ListParagraph"/>
        <w:numPr>
          <w:ilvl w:val="0"/>
          <w:numId w:val="38"/>
        </w:numPr>
        <w:contextualSpacing w:val="0"/>
        <w:rPr>
          <w:color w:val="000000" w:themeColor="text1"/>
        </w:rPr>
      </w:pPr>
      <w:r w:rsidRPr="00DB7CB0">
        <w:rPr>
          <w:rFonts w:cs="Arial"/>
          <w:color w:val="000000" w:themeColor="text1"/>
          <w:szCs w:val="24"/>
          <w:shd w:val="clear" w:color="auto" w:fill="FFFFFF"/>
        </w:rPr>
        <w:t>Davidson, J. L., Jacobson, C., Lyth, A., Dedekorkut-Howes, A., Baldwin, C. L., Ellison, J. C., Holbrook, N. J., Howes, M. J., Serrao-Neumann, S., Singh-Peterson, L., &amp; Smith, T. F. (2016). Interrogating resilience: toward a typology to improve its operationalization. </w:t>
      </w:r>
      <w:r w:rsidRPr="00DB7CB0">
        <w:rPr>
          <w:rFonts w:cs="Arial"/>
          <w:i/>
          <w:iCs/>
          <w:color w:val="000000" w:themeColor="text1"/>
          <w:szCs w:val="24"/>
          <w:shd w:val="clear" w:color="auto" w:fill="FFFFFF"/>
        </w:rPr>
        <w:t>Ecology and Society</w:t>
      </w:r>
      <w:r w:rsidRPr="00DB7CB0">
        <w:rPr>
          <w:rFonts w:cs="Arial"/>
          <w:color w:val="000000" w:themeColor="text1"/>
          <w:szCs w:val="24"/>
          <w:shd w:val="clear" w:color="auto" w:fill="FFFFFF"/>
        </w:rPr>
        <w:t>, </w:t>
      </w:r>
      <w:r w:rsidRPr="00DB7CB0">
        <w:rPr>
          <w:rFonts w:cs="Arial"/>
          <w:i/>
          <w:iCs/>
          <w:color w:val="000000" w:themeColor="text1"/>
          <w:szCs w:val="24"/>
          <w:shd w:val="clear" w:color="auto" w:fill="FFFFFF"/>
        </w:rPr>
        <w:t>21</w:t>
      </w:r>
      <w:r w:rsidRPr="00DB7CB0">
        <w:rPr>
          <w:rFonts w:cs="Arial"/>
          <w:color w:val="000000" w:themeColor="text1"/>
          <w:szCs w:val="24"/>
          <w:shd w:val="clear" w:color="auto" w:fill="FFFFFF"/>
        </w:rPr>
        <w:t xml:space="preserve">(2), 27–. </w:t>
      </w:r>
      <w:hyperlink r:id="rId29" w:history="1">
        <w:r w:rsidRPr="00DB7CB0">
          <w:rPr>
            <w:rStyle w:val="Hyperlink"/>
            <w:rFonts w:cs="Arial"/>
            <w:color w:val="000000" w:themeColor="text1"/>
            <w:szCs w:val="24"/>
            <w:shd w:val="clear" w:color="auto" w:fill="FFFFFF"/>
          </w:rPr>
          <w:t>https://doi.org/10.5751/ES-08450-210227</w:t>
        </w:r>
      </w:hyperlink>
    </w:p>
    <w:p w14:paraId="00EA7912" w14:textId="7BB0FD22" w:rsidR="002C5B8A" w:rsidRDefault="0055093F" w:rsidP="00BD17D6">
      <w:pPr>
        <w:pStyle w:val="Heading3"/>
      </w:pPr>
      <w:r w:rsidRPr="0055093F">
        <w:t xml:space="preserve">Additional Suggested Readings </w:t>
      </w:r>
    </w:p>
    <w:p w14:paraId="6C5058E8" w14:textId="44F4DDB6" w:rsidR="0055093F" w:rsidRDefault="0055093F" w:rsidP="00BD17D6">
      <w:pPr>
        <w:pStyle w:val="ListParagraph"/>
        <w:numPr>
          <w:ilvl w:val="0"/>
          <w:numId w:val="39"/>
        </w:numPr>
        <w:contextualSpacing w:val="0"/>
      </w:pPr>
      <w:r w:rsidRPr="00524BBE">
        <w:t>Baines, D &amp; Daley, T. (2015)</w:t>
      </w:r>
      <w:r>
        <w:t xml:space="preserve">. Resisting regulatory rigidities: Lessons from front-line care work. </w:t>
      </w:r>
      <w:r w:rsidRPr="00BD17D6">
        <w:rPr>
          <w:i/>
        </w:rPr>
        <w:t>Studies in Political Economy</w:t>
      </w:r>
      <w:r>
        <w:t>, 95(1), 137-160.</w:t>
      </w:r>
    </w:p>
    <w:p w14:paraId="616F9DB0" w14:textId="77777777" w:rsidR="0055093F" w:rsidRPr="00BD17D6" w:rsidRDefault="0055093F" w:rsidP="00BD17D6">
      <w:pPr>
        <w:pStyle w:val="ListParagraph"/>
        <w:numPr>
          <w:ilvl w:val="0"/>
          <w:numId w:val="39"/>
        </w:numPr>
        <w:contextualSpacing w:val="0"/>
        <w:rPr>
          <w:rFonts w:cs="Arial"/>
          <w:szCs w:val="24"/>
        </w:rPr>
      </w:pPr>
      <w:r w:rsidRPr="00BD17D6">
        <w:rPr>
          <w:rFonts w:cs="Arial"/>
          <w:szCs w:val="24"/>
        </w:rPr>
        <w:t xml:space="preserve">Fine, M. &amp; Teram, E. (2013). Overt and Covert Ways of Responding to Moral Injustices in Social Work Practice: Heroes and Mild-Mannered Social Work Bipeds. </w:t>
      </w:r>
      <w:r w:rsidRPr="00BD17D6">
        <w:rPr>
          <w:rFonts w:cs="Arial"/>
          <w:i/>
          <w:szCs w:val="24"/>
        </w:rPr>
        <w:t>British Journal of Social Work,</w:t>
      </w:r>
      <w:r w:rsidRPr="00BD17D6">
        <w:rPr>
          <w:rFonts w:cs="Arial"/>
          <w:szCs w:val="24"/>
        </w:rPr>
        <w:t xml:space="preserve"> </w:t>
      </w:r>
      <w:r w:rsidRPr="00BD17D6">
        <w:rPr>
          <w:rFonts w:cs="Arial"/>
          <w:i/>
          <w:szCs w:val="24"/>
        </w:rPr>
        <w:t>43</w:t>
      </w:r>
      <w:r w:rsidRPr="00BD17D6">
        <w:rPr>
          <w:rFonts w:cs="Arial"/>
          <w:szCs w:val="24"/>
        </w:rPr>
        <w:t>(7): 1312-1329.</w:t>
      </w:r>
    </w:p>
    <w:p w14:paraId="13A2EC4F" w14:textId="662D1D44" w:rsidR="0055093F" w:rsidRPr="00BD17D6" w:rsidRDefault="0055093F" w:rsidP="0055093F">
      <w:pPr>
        <w:pStyle w:val="ListParagraph"/>
        <w:numPr>
          <w:ilvl w:val="0"/>
          <w:numId w:val="39"/>
        </w:numPr>
        <w:contextualSpacing w:val="0"/>
      </w:pPr>
      <w:r w:rsidRPr="00985BAD">
        <w:t xml:space="preserve">Thomas, R. and Davies, A. (2005) ‘Theorizing the micro-politics of resistance: New public management and managerial identities in the U.K. public services’, </w:t>
      </w:r>
      <w:r w:rsidRPr="00BD17D6">
        <w:rPr>
          <w:i/>
        </w:rPr>
        <w:t>Organization Studies, 26</w:t>
      </w:r>
      <w:r>
        <w:t>(5),</w:t>
      </w:r>
      <w:r w:rsidRPr="00985BAD">
        <w:t xml:space="preserve"> 683-706. </w:t>
      </w:r>
    </w:p>
    <w:p w14:paraId="635EAEC4" w14:textId="3671A429" w:rsidR="008C1E64" w:rsidRPr="00410B29" w:rsidRDefault="008C1E64" w:rsidP="00F04477">
      <w:pPr>
        <w:pStyle w:val="Heading2"/>
      </w:pPr>
      <w:r w:rsidRPr="00410B29">
        <w:t xml:space="preserve">Week 12: </w:t>
      </w:r>
      <w:bookmarkEnd w:id="54"/>
      <w:r w:rsidR="002C5B8A">
        <w:t xml:space="preserve">March </w:t>
      </w:r>
      <w:r w:rsidR="002F587E">
        <w:t>30</w:t>
      </w:r>
      <w:r w:rsidR="002C5B8A">
        <w:t>, 2023</w:t>
      </w:r>
    </w:p>
    <w:p w14:paraId="42638944" w14:textId="77777777" w:rsidR="008C1E64" w:rsidRPr="00410B29" w:rsidRDefault="008C1E64" w:rsidP="00581116">
      <w:pPr>
        <w:pStyle w:val="Heading3"/>
      </w:pPr>
      <w:r w:rsidRPr="00410B29">
        <w:t>Topics:</w:t>
      </w:r>
    </w:p>
    <w:p w14:paraId="7F95DD66" w14:textId="71BCFA85" w:rsidR="008C1E64" w:rsidRPr="003C4014" w:rsidRDefault="0055093F">
      <w:pPr>
        <w:pStyle w:val="ListParagraph"/>
        <w:numPr>
          <w:ilvl w:val="0"/>
          <w:numId w:val="9"/>
        </w:numPr>
        <w:rPr>
          <w:b/>
        </w:rPr>
      </w:pPr>
      <w:r>
        <w:t>Critical Practice: Possibilities for change and hope</w:t>
      </w:r>
    </w:p>
    <w:p w14:paraId="04B4857A" w14:textId="05F4215A" w:rsidR="00CD19CC" w:rsidRPr="00BD17D6" w:rsidRDefault="008C1E64" w:rsidP="00BD17D6">
      <w:pPr>
        <w:pStyle w:val="Heading3"/>
      </w:pPr>
      <w:r w:rsidRPr="00410B29">
        <w:lastRenderedPageBreak/>
        <w:t>Readings:</w:t>
      </w:r>
    </w:p>
    <w:p w14:paraId="7C308802" w14:textId="01B02216" w:rsidR="00CD19CC" w:rsidRPr="00BD17D6" w:rsidRDefault="0055093F" w:rsidP="00BD17D6">
      <w:pPr>
        <w:pStyle w:val="ListParagraph"/>
        <w:numPr>
          <w:ilvl w:val="0"/>
          <w:numId w:val="40"/>
        </w:numPr>
        <w:contextualSpacing w:val="0"/>
        <w:rPr>
          <w:rFonts w:cs="Arial"/>
          <w:b/>
          <w:color w:val="000000" w:themeColor="text1"/>
          <w:szCs w:val="24"/>
        </w:rPr>
      </w:pPr>
      <w:r w:rsidRPr="00BD17D6">
        <w:rPr>
          <w:rFonts w:cs="Arial"/>
          <w:color w:val="000000" w:themeColor="text1"/>
          <w:szCs w:val="24"/>
          <w:shd w:val="clear" w:color="auto" w:fill="FFFFFF"/>
        </w:rPr>
        <w:t>Hailey, J., Burton, W., &amp; Arscott, J. (2020). We Are Family: Chosen and Created Families as a Protective Factor Against Racialized Trauma and Anti-LGBTQ Oppression Among African American Sexual and Gender Minority Youth. </w:t>
      </w:r>
      <w:r w:rsidRPr="00BD17D6">
        <w:rPr>
          <w:rFonts w:cs="Arial"/>
          <w:i/>
          <w:iCs/>
          <w:color w:val="000000" w:themeColor="text1"/>
          <w:szCs w:val="24"/>
          <w:shd w:val="clear" w:color="auto" w:fill="FFFFFF"/>
        </w:rPr>
        <w:t>Journal of GLBT Family Studies</w:t>
      </w:r>
      <w:r w:rsidRPr="00BD17D6">
        <w:rPr>
          <w:rFonts w:cs="Arial"/>
          <w:color w:val="000000" w:themeColor="text1"/>
          <w:szCs w:val="24"/>
          <w:shd w:val="clear" w:color="auto" w:fill="FFFFFF"/>
        </w:rPr>
        <w:t>, </w:t>
      </w:r>
      <w:r w:rsidRPr="00BD17D6">
        <w:rPr>
          <w:rFonts w:cs="Arial"/>
          <w:i/>
          <w:iCs/>
          <w:color w:val="000000" w:themeColor="text1"/>
          <w:szCs w:val="24"/>
          <w:shd w:val="clear" w:color="auto" w:fill="FFFFFF"/>
        </w:rPr>
        <w:t>16</w:t>
      </w:r>
      <w:r w:rsidRPr="00BD17D6">
        <w:rPr>
          <w:rFonts w:cs="Arial"/>
          <w:color w:val="000000" w:themeColor="text1"/>
          <w:szCs w:val="24"/>
          <w:shd w:val="clear" w:color="auto" w:fill="FFFFFF"/>
        </w:rPr>
        <w:t xml:space="preserve">(2), 176–191. </w:t>
      </w:r>
      <w:hyperlink r:id="rId30" w:history="1">
        <w:r w:rsidRPr="00BD17D6">
          <w:rPr>
            <w:rStyle w:val="Hyperlink"/>
            <w:rFonts w:cs="Arial"/>
            <w:color w:val="000000" w:themeColor="text1"/>
            <w:szCs w:val="24"/>
            <w:shd w:val="clear" w:color="auto" w:fill="FFFFFF"/>
          </w:rPr>
          <w:t>https://doi.org/10.1080/1550428X.2020.1724133</w:t>
        </w:r>
      </w:hyperlink>
      <w:bookmarkStart w:id="55" w:name="_Toc12350836"/>
    </w:p>
    <w:p w14:paraId="108C4719" w14:textId="650E3673" w:rsidR="00CD19CC" w:rsidRPr="00BD17D6" w:rsidRDefault="0055093F" w:rsidP="00BD17D6">
      <w:pPr>
        <w:pStyle w:val="ListParagraph"/>
        <w:numPr>
          <w:ilvl w:val="0"/>
          <w:numId w:val="40"/>
        </w:numPr>
        <w:contextualSpacing w:val="0"/>
        <w:rPr>
          <w:rFonts w:cs="Arial"/>
          <w:b/>
          <w:color w:val="000000" w:themeColor="text1"/>
          <w:szCs w:val="24"/>
        </w:rPr>
      </w:pPr>
      <w:r w:rsidRPr="00BD17D6">
        <w:t xml:space="preserve">Pollack, S. (2020). Transformative Praxis with Incarcerated Women: Collaboration, Leadership, and Voice.  </w:t>
      </w:r>
      <w:r w:rsidRPr="00BD17D6">
        <w:rPr>
          <w:i/>
        </w:rPr>
        <w:t>Affilia: Journal of Women and Social Work</w:t>
      </w:r>
      <w:r w:rsidRPr="00BD17D6">
        <w:t>, 35 (3) 344-357.</w:t>
      </w:r>
    </w:p>
    <w:p w14:paraId="56FB5A75" w14:textId="6D4BD94E" w:rsidR="00CD19CC" w:rsidRDefault="0055093F" w:rsidP="00BD17D6">
      <w:pPr>
        <w:pStyle w:val="ListParagraph"/>
        <w:numPr>
          <w:ilvl w:val="0"/>
          <w:numId w:val="40"/>
        </w:numPr>
        <w:contextualSpacing w:val="0"/>
      </w:pPr>
      <w:r>
        <w:t xml:space="preserve">Southern Ontario’s Basic Income Experience. (2020). Mohammad Ferdosi (McMaster University), Tom McDowell (Ryerson University), Wayne Lewchuk (McMaster University) Stephanie Ross McMaster University). </w:t>
      </w:r>
    </w:p>
    <w:p w14:paraId="25C77827" w14:textId="15F79AD3" w:rsidR="0055093F" w:rsidRPr="00BD17D6" w:rsidRDefault="0055093F" w:rsidP="00BD17D6">
      <w:pPr>
        <w:pStyle w:val="ListParagraph"/>
        <w:numPr>
          <w:ilvl w:val="0"/>
          <w:numId w:val="40"/>
        </w:numPr>
        <w:contextualSpacing w:val="0"/>
        <w:rPr>
          <w:rFonts w:cs="Arial"/>
          <w:b/>
          <w:color w:val="000000" w:themeColor="text1"/>
          <w:szCs w:val="24"/>
        </w:rPr>
      </w:pPr>
      <w:r w:rsidRPr="00BD17D6">
        <w:t xml:space="preserve">Boddy,  J., O’Leary, P. &amp; Panagiotaros (2021).  Hope during and Post-Disasters: Social work’s Role in Creating and Nurturing Emancipatory Hope. </w:t>
      </w:r>
      <w:r w:rsidRPr="00BD17D6">
        <w:rPr>
          <w:i/>
          <w:iCs/>
        </w:rPr>
        <w:t xml:space="preserve">British Journal of Social Work, </w:t>
      </w:r>
      <w:r w:rsidRPr="00BD17D6">
        <w:t>51, 1917-1934.</w:t>
      </w:r>
      <w:r w:rsidRPr="00BD17D6">
        <w:rPr>
          <w:szCs w:val="24"/>
        </w:rPr>
        <w:t xml:space="preserve"> </w:t>
      </w:r>
    </w:p>
    <w:bookmarkEnd w:id="55"/>
    <w:p w14:paraId="3023D695" w14:textId="4F5D7675" w:rsidR="00A81F2C" w:rsidRDefault="0055093F" w:rsidP="00F04477">
      <w:pPr>
        <w:pStyle w:val="Heading2"/>
      </w:pPr>
      <w:r>
        <w:t>Week 13: April 6, 2023</w:t>
      </w:r>
    </w:p>
    <w:p w14:paraId="4F96364D" w14:textId="2CD8285B" w:rsidR="0055093F" w:rsidRDefault="0055093F" w:rsidP="00BD17D6">
      <w:pPr>
        <w:pStyle w:val="Heading3"/>
        <w:rPr>
          <w:lang w:val="en-GB"/>
        </w:rPr>
      </w:pPr>
      <w:r>
        <w:rPr>
          <w:lang w:val="en-GB"/>
        </w:rPr>
        <w:t>Topics:</w:t>
      </w:r>
    </w:p>
    <w:p w14:paraId="37B6A01C" w14:textId="1FBAE8C1" w:rsidR="0055093F" w:rsidRPr="00CD19CC" w:rsidRDefault="0055093F">
      <w:pPr>
        <w:pStyle w:val="ListParagraph"/>
        <w:numPr>
          <w:ilvl w:val="3"/>
          <w:numId w:val="9"/>
        </w:numPr>
        <w:rPr>
          <w:lang w:val="en-GB"/>
        </w:rPr>
      </w:pPr>
      <w:r w:rsidRPr="00CD19CC">
        <w:rPr>
          <w:lang w:val="en-GB"/>
        </w:rPr>
        <w:t>Review of Course &amp; Final Assignment</w:t>
      </w:r>
    </w:p>
    <w:sectPr w:rsidR="0055093F" w:rsidRPr="00CD19CC" w:rsidSect="00166EF9">
      <w:headerReference w:type="default" r:id="rId31"/>
      <w:footerReference w:type="default" r:id="rId32"/>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0A8B9" w14:textId="77777777" w:rsidR="00547DF9" w:rsidRDefault="00547DF9" w:rsidP="003562E3">
      <w:r>
        <w:separator/>
      </w:r>
    </w:p>
  </w:endnote>
  <w:endnote w:type="continuationSeparator" w:id="0">
    <w:p w14:paraId="099A5D30" w14:textId="77777777" w:rsidR="00547DF9" w:rsidRDefault="00547DF9"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BA3DE" w14:textId="6AB8C663" w:rsidR="00B60A1B" w:rsidRPr="00AC15D9" w:rsidRDefault="008163FD" w:rsidP="00AC15D9">
    <w:pPr>
      <w:rPr>
        <w:rFonts w:ascii="Calibri" w:hAnsi="Calibri" w:cs="Calibri"/>
        <w:b/>
        <w:bCs/>
      </w:rPr>
    </w:pPr>
    <w:r>
      <w:rPr>
        <w:rStyle w:val="Strong"/>
        <w:rFonts w:ascii="Calibri" w:hAnsi="Calibri" w:cs="Calibri"/>
      </w:rPr>
      <w:t xml:space="preserve">SW 740, Winter </w:t>
    </w:r>
    <w:r w:rsidR="00DE446D" w:rsidRPr="005F68BC">
      <w:rPr>
        <w:rStyle w:val="Strong"/>
        <w:rFonts w:ascii="Calibri" w:hAnsi="Calibri" w:cs="Calibri"/>
      </w:rPr>
      <w:t xml:space="preserve">Term, </w:t>
    </w:r>
    <w:r>
      <w:rPr>
        <w:rStyle w:val="Strong"/>
        <w:rFonts w:ascii="Calibri" w:hAnsi="Calibri" w:cs="Calibri"/>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513F9" w14:textId="77777777" w:rsidR="00547DF9" w:rsidRDefault="00547DF9" w:rsidP="003562E3">
      <w:r>
        <w:separator/>
      </w:r>
    </w:p>
  </w:footnote>
  <w:footnote w:type="continuationSeparator" w:id="0">
    <w:p w14:paraId="76C4B930" w14:textId="77777777" w:rsidR="00547DF9" w:rsidRDefault="00547DF9"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C2A80" w14:textId="77777777" w:rsidR="00DE446D" w:rsidRDefault="00DE446D">
    <w:pPr>
      <w:pStyle w:val="Header"/>
      <w:jc w:val="right"/>
    </w:pPr>
    <w:r>
      <w:fldChar w:fldCharType="begin"/>
    </w:r>
    <w:r>
      <w:instrText xml:space="preserve"> PAGE   \* MERGEFORMAT </w:instrText>
    </w:r>
    <w:r>
      <w:fldChar w:fldCharType="separate"/>
    </w:r>
    <w:r w:rsidR="00842A26">
      <w:rPr>
        <w:noProof/>
      </w:rPr>
      <w:t>1</w:t>
    </w:r>
    <w:r>
      <w:rPr>
        <w:noProof/>
      </w:rPr>
      <w:fldChar w:fldCharType="end"/>
    </w:r>
  </w:p>
  <w:p w14:paraId="35674672" w14:textId="77777777" w:rsidR="00DE446D" w:rsidRDefault="00DE4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4F651F"/>
    <w:multiLevelType w:val="hybridMultilevel"/>
    <w:tmpl w:val="283A8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345254D"/>
    <w:multiLevelType w:val="hybridMultilevel"/>
    <w:tmpl w:val="7F9AD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CA327B"/>
    <w:multiLevelType w:val="hybridMultilevel"/>
    <w:tmpl w:val="C31E0DC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19782E"/>
    <w:multiLevelType w:val="hybridMultilevel"/>
    <w:tmpl w:val="98B03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911804"/>
    <w:multiLevelType w:val="multilevel"/>
    <w:tmpl w:val="2506DBD8"/>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72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720" w:hanging="360"/>
      </w:pPr>
      <w:rPr>
        <w:rFonts w:hint="default"/>
        <w:b w:val="0"/>
        <w:bCs/>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A981F82"/>
    <w:multiLevelType w:val="hybridMultilevel"/>
    <w:tmpl w:val="C5D89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7953C3"/>
    <w:multiLevelType w:val="multilevel"/>
    <w:tmpl w:val="F8B49BE2"/>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720" w:hanging="360"/>
      </w:pPr>
      <w:rPr>
        <w:rFonts w:hint="default"/>
        <w:b w:val="0"/>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720" w:hanging="360"/>
      </w:pPr>
      <w:rPr>
        <w:rFonts w:hint="default"/>
        <w:b w:val="0"/>
        <w:bCs/>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ED41E2B"/>
    <w:multiLevelType w:val="hybridMultilevel"/>
    <w:tmpl w:val="FA9CE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B22366"/>
    <w:multiLevelType w:val="hybridMultilevel"/>
    <w:tmpl w:val="78840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995B7D"/>
    <w:multiLevelType w:val="hybridMultilevel"/>
    <w:tmpl w:val="4314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737453"/>
    <w:multiLevelType w:val="hybridMultilevel"/>
    <w:tmpl w:val="ED06C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E31CD9"/>
    <w:multiLevelType w:val="hybridMultilevel"/>
    <w:tmpl w:val="E9B0A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D34918"/>
    <w:multiLevelType w:val="hybridMultilevel"/>
    <w:tmpl w:val="C052B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C91702"/>
    <w:multiLevelType w:val="multilevel"/>
    <w:tmpl w:val="F8B49BE2"/>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720" w:hanging="360"/>
      </w:pPr>
      <w:rPr>
        <w:rFonts w:hint="default"/>
        <w:b w:val="0"/>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720" w:hanging="360"/>
      </w:pPr>
      <w:rPr>
        <w:rFonts w:hint="default"/>
        <w:b w:val="0"/>
        <w:bCs/>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EAF504A"/>
    <w:multiLevelType w:val="hybridMultilevel"/>
    <w:tmpl w:val="FF08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BF5AB5"/>
    <w:multiLevelType w:val="hybridMultilevel"/>
    <w:tmpl w:val="1F8E0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761414"/>
    <w:multiLevelType w:val="multilevel"/>
    <w:tmpl w:val="F8B49BE2"/>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720" w:hanging="360"/>
      </w:pPr>
      <w:rPr>
        <w:rFonts w:hint="default"/>
        <w:b w:val="0"/>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720" w:hanging="360"/>
      </w:pPr>
      <w:rPr>
        <w:rFonts w:hint="default"/>
        <w:b w:val="0"/>
        <w:bCs/>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C1273ED"/>
    <w:multiLevelType w:val="hybridMultilevel"/>
    <w:tmpl w:val="4D32F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783998"/>
    <w:multiLevelType w:val="multilevel"/>
    <w:tmpl w:val="C574A846"/>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06055E3"/>
    <w:multiLevelType w:val="hybridMultilevel"/>
    <w:tmpl w:val="482C3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FD69F7"/>
    <w:multiLevelType w:val="hybridMultilevel"/>
    <w:tmpl w:val="C60898AC"/>
    <w:lvl w:ilvl="0" w:tplc="AEF6A0AC">
      <w:start w:val="1"/>
      <w:numFmt w:val="decimal"/>
      <w:lvlText w:val="%1."/>
      <w:lvlJc w:val="left"/>
      <w:pPr>
        <w:ind w:left="720" w:hanging="360"/>
      </w:pPr>
      <w:rPr>
        <w:rFonts w:hint="default"/>
        <w:b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3" w15:restartNumberingAfterBreak="0">
    <w:nsid w:val="435550D0"/>
    <w:multiLevelType w:val="hybridMultilevel"/>
    <w:tmpl w:val="7080564A"/>
    <w:lvl w:ilvl="0" w:tplc="E8B60DEC">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C1E7048"/>
    <w:multiLevelType w:val="hybridMultilevel"/>
    <w:tmpl w:val="82240D88"/>
    <w:lvl w:ilvl="0" w:tplc="1009000F">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7E960ED"/>
    <w:multiLevelType w:val="hybridMultilevel"/>
    <w:tmpl w:val="76983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6A34BE"/>
    <w:multiLevelType w:val="hybridMultilevel"/>
    <w:tmpl w:val="C9567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E34180"/>
    <w:multiLevelType w:val="hybridMultilevel"/>
    <w:tmpl w:val="33DC0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86413C"/>
    <w:multiLevelType w:val="hybridMultilevel"/>
    <w:tmpl w:val="AE36F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9D1514"/>
    <w:multiLevelType w:val="hybridMultilevel"/>
    <w:tmpl w:val="A410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242238"/>
    <w:multiLevelType w:val="hybridMultilevel"/>
    <w:tmpl w:val="EBA47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AF1D6E"/>
    <w:multiLevelType w:val="multilevel"/>
    <w:tmpl w:val="F8B49BE2"/>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720" w:hanging="360"/>
      </w:pPr>
      <w:rPr>
        <w:rFonts w:hint="default"/>
        <w:b w:val="0"/>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720" w:hanging="360"/>
      </w:pPr>
      <w:rPr>
        <w:rFonts w:hint="default"/>
        <w:b w:val="0"/>
        <w:bCs/>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73961E6F"/>
    <w:multiLevelType w:val="multilevel"/>
    <w:tmpl w:val="2506DBD8"/>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72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720" w:hanging="360"/>
      </w:pPr>
      <w:rPr>
        <w:rFonts w:hint="default"/>
        <w:b w:val="0"/>
        <w:bCs/>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4035F77"/>
    <w:multiLevelType w:val="hybridMultilevel"/>
    <w:tmpl w:val="82240D8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71C44D3"/>
    <w:multiLevelType w:val="hybridMultilevel"/>
    <w:tmpl w:val="102CD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063622"/>
    <w:multiLevelType w:val="hybridMultilevel"/>
    <w:tmpl w:val="DA36D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B546D2"/>
    <w:multiLevelType w:val="hybridMultilevel"/>
    <w:tmpl w:val="2D64B96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7560023">
    <w:abstractNumId w:val="23"/>
  </w:num>
  <w:num w:numId="2" w16cid:durableId="1574772524">
    <w:abstractNumId w:val="0"/>
  </w:num>
  <w:num w:numId="3" w16cid:durableId="1998221728">
    <w:abstractNumId w:val="2"/>
  </w:num>
  <w:num w:numId="4" w16cid:durableId="309291508">
    <w:abstractNumId w:val="20"/>
  </w:num>
  <w:num w:numId="5" w16cid:durableId="1013458862">
    <w:abstractNumId w:val="21"/>
  </w:num>
  <w:num w:numId="6" w16cid:durableId="863372601">
    <w:abstractNumId w:val="6"/>
  </w:num>
  <w:num w:numId="7" w16cid:durableId="1172065223">
    <w:abstractNumId w:val="11"/>
  </w:num>
  <w:num w:numId="8" w16cid:durableId="586115612">
    <w:abstractNumId w:val="19"/>
  </w:num>
  <w:num w:numId="9" w16cid:durableId="155996954">
    <w:abstractNumId w:val="18"/>
  </w:num>
  <w:num w:numId="10" w16cid:durableId="2107575358">
    <w:abstractNumId w:val="36"/>
  </w:num>
  <w:num w:numId="11" w16cid:durableId="794638358">
    <w:abstractNumId w:val="24"/>
  </w:num>
  <w:num w:numId="12" w16cid:durableId="1555655040">
    <w:abstractNumId w:val="4"/>
  </w:num>
  <w:num w:numId="13" w16cid:durableId="733771919">
    <w:abstractNumId w:val="33"/>
  </w:num>
  <w:num w:numId="14" w16cid:durableId="840631550">
    <w:abstractNumId w:val="22"/>
  </w:num>
  <w:num w:numId="15" w16cid:durableId="854732124">
    <w:abstractNumId w:val="32"/>
  </w:num>
  <w:num w:numId="16" w16cid:durableId="1481994267">
    <w:abstractNumId w:val="15"/>
  </w:num>
  <w:num w:numId="17" w16cid:durableId="1234774815">
    <w:abstractNumId w:val="31"/>
  </w:num>
  <w:num w:numId="18" w16cid:durableId="1588493710">
    <w:abstractNumId w:val="8"/>
  </w:num>
  <w:num w:numId="19" w16cid:durableId="817189996">
    <w:abstractNumId w:val="20"/>
    <w:lvlOverride w:ilvl="0">
      <w:lvl w:ilvl="0">
        <w:start w:val="1"/>
        <w:numFmt w:val="decimal"/>
        <w:lvlText w:val="%1."/>
        <w:lvlJc w:val="left"/>
        <w:pPr>
          <w:ind w:left="720" w:hanging="360"/>
        </w:pPr>
        <w:rPr>
          <w:rFonts w:hint="default"/>
          <w:b w:val="0"/>
        </w:rPr>
      </w:lvl>
    </w:lvlOverride>
    <w:lvlOverride w:ilvl="1">
      <w:lvl w:ilvl="1">
        <w:start w:val="1"/>
        <w:numFmt w:val="bullet"/>
        <w:lvlText w:val=""/>
        <w:lvlJc w:val="left"/>
        <w:pPr>
          <w:ind w:left="720" w:hanging="360"/>
        </w:pPr>
        <w:rPr>
          <w:rFonts w:ascii="Symbol" w:hAnsi="Symbol" w:hint="default"/>
          <w:color w:val="auto"/>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0" w16cid:durableId="1358652964">
    <w:abstractNumId w:val="20"/>
    <w:lvlOverride w:ilvl="0">
      <w:lvl w:ilvl="0">
        <w:start w:val="1"/>
        <w:numFmt w:val="decimal"/>
        <w:lvlText w:val="%1."/>
        <w:lvlJc w:val="left"/>
        <w:pPr>
          <w:ind w:left="720" w:hanging="360"/>
        </w:pPr>
        <w:rPr>
          <w:rFonts w:hint="default"/>
          <w:b w:val="0"/>
        </w:rPr>
      </w:lvl>
    </w:lvlOverride>
    <w:lvlOverride w:ilvl="1">
      <w:lvl w:ilvl="1">
        <w:start w:val="1"/>
        <w:numFmt w:val="bullet"/>
        <w:lvlText w:val=""/>
        <w:lvlJc w:val="left"/>
        <w:pPr>
          <w:ind w:left="720" w:hanging="360"/>
        </w:pPr>
        <w:rPr>
          <w:rFonts w:ascii="Symbol" w:hAnsi="Symbol" w:hint="default"/>
          <w:color w:val="auto"/>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1" w16cid:durableId="1037465796">
    <w:abstractNumId w:val="20"/>
    <w:lvlOverride w:ilvl="0">
      <w:lvl w:ilvl="0">
        <w:start w:val="1"/>
        <w:numFmt w:val="decimal"/>
        <w:lvlText w:val="%1."/>
        <w:lvlJc w:val="left"/>
        <w:pPr>
          <w:ind w:left="720" w:hanging="360"/>
        </w:pPr>
        <w:rPr>
          <w:rFonts w:hint="default"/>
          <w:b w:val="0"/>
        </w:rPr>
      </w:lvl>
    </w:lvlOverride>
    <w:lvlOverride w:ilvl="1">
      <w:lvl w:ilvl="1">
        <w:start w:val="1"/>
        <w:numFmt w:val="bullet"/>
        <w:lvlText w:val=""/>
        <w:lvlJc w:val="left"/>
        <w:pPr>
          <w:ind w:left="720" w:hanging="360"/>
        </w:pPr>
        <w:rPr>
          <w:rFonts w:ascii="Symbol" w:hAnsi="Symbol" w:hint="default"/>
          <w:color w:val="auto"/>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2" w16cid:durableId="1236168103">
    <w:abstractNumId w:val="30"/>
  </w:num>
  <w:num w:numId="23" w16cid:durableId="1399746827">
    <w:abstractNumId w:val="9"/>
  </w:num>
  <w:num w:numId="24" w16cid:durableId="141971466">
    <w:abstractNumId w:val="28"/>
  </w:num>
  <w:num w:numId="25" w16cid:durableId="1158182475">
    <w:abstractNumId w:val="29"/>
  </w:num>
  <w:num w:numId="26" w16cid:durableId="1337420445">
    <w:abstractNumId w:val="25"/>
  </w:num>
  <w:num w:numId="27" w16cid:durableId="1150094536">
    <w:abstractNumId w:val="5"/>
  </w:num>
  <w:num w:numId="28" w16cid:durableId="640886948">
    <w:abstractNumId w:val="26"/>
  </w:num>
  <w:num w:numId="29" w16cid:durableId="367142284">
    <w:abstractNumId w:val="16"/>
  </w:num>
  <w:num w:numId="30" w16cid:durableId="1221207996">
    <w:abstractNumId w:val="14"/>
  </w:num>
  <w:num w:numId="31" w16cid:durableId="97872376">
    <w:abstractNumId w:val="10"/>
  </w:num>
  <w:num w:numId="32" w16cid:durableId="209267070">
    <w:abstractNumId w:val="34"/>
  </w:num>
  <w:num w:numId="33" w16cid:durableId="1062026667">
    <w:abstractNumId w:val="1"/>
  </w:num>
  <w:num w:numId="34" w16cid:durableId="1314796223">
    <w:abstractNumId w:val="13"/>
  </w:num>
  <w:num w:numId="35" w16cid:durableId="1026558955">
    <w:abstractNumId w:val="35"/>
  </w:num>
  <w:num w:numId="36" w16cid:durableId="1521552518">
    <w:abstractNumId w:val="17"/>
  </w:num>
  <w:num w:numId="37" w16cid:durableId="256063653">
    <w:abstractNumId w:val="27"/>
  </w:num>
  <w:num w:numId="38" w16cid:durableId="605425597">
    <w:abstractNumId w:val="3"/>
  </w:num>
  <w:num w:numId="39" w16cid:durableId="337654653">
    <w:abstractNumId w:val="12"/>
  </w:num>
  <w:num w:numId="40" w16cid:durableId="1660883892">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042C3"/>
    <w:rsid w:val="00033738"/>
    <w:rsid w:val="000546F7"/>
    <w:rsid w:val="000569EF"/>
    <w:rsid w:val="00057F8B"/>
    <w:rsid w:val="00064D97"/>
    <w:rsid w:val="00074F1E"/>
    <w:rsid w:val="00080608"/>
    <w:rsid w:val="00084E3E"/>
    <w:rsid w:val="00090428"/>
    <w:rsid w:val="00090985"/>
    <w:rsid w:val="000928B4"/>
    <w:rsid w:val="00094A68"/>
    <w:rsid w:val="000A15C1"/>
    <w:rsid w:val="000A546F"/>
    <w:rsid w:val="000A65DA"/>
    <w:rsid w:val="000A6633"/>
    <w:rsid w:val="000B0755"/>
    <w:rsid w:val="000B1661"/>
    <w:rsid w:val="000C363B"/>
    <w:rsid w:val="000D7A37"/>
    <w:rsid w:val="000E3F4C"/>
    <w:rsid w:val="000F5931"/>
    <w:rsid w:val="001059DF"/>
    <w:rsid w:val="0011325B"/>
    <w:rsid w:val="00120E73"/>
    <w:rsid w:val="00121290"/>
    <w:rsid w:val="0013233D"/>
    <w:rsid w:val="00140127"/>
    <w:rsid w:val="00140878"/>
    <w:rsid w:val="00152229"/>
    <w:rsid w:val="00153D32"/>
    <w:rsid w:val="00163DDE"/>
    <w:rsid w:val="00166D7B"/>
    <w:rsid w:val="00166EF9"/>
    <w:rsid w:val="00186663"/>
    <w:rsid w:val="001A732A"/>
    <w:rsid w:val="001A7A9F"/>
    <w:rsid w:val="001B3F63"/>
    <w:rsid w:val="001B68B4"/>
    <w:rsid w:val="001C0D20"/>
    <w:rsid w:val="001C4731"/>
    <w:rsid w:val="001D4899"/>
    <w:rsid w:val="001E7651"/>
    <w:rsid w:val="001F3D7B"/>
    <w:rsid w:val="00205826"/>
    <w:rsid w:val="00210F2C"/>
    <w:rsid w:val="00212CF1"/>
    <w:rsid w:val="00214EB3"/>
    <w:rsid w:val="00215B16"/>
    <w:rsid w:val="00237CAC"/>
    <w:rsid w:val="00256BB6"/>
    <w:rsid w:val="002606D2"/>
    <w:rsid w:val="002631ED"/>
    <w:rsid w:val="00265711"/>
    <w:rsid w:val="00270DA2"/>
    <w:rsid w:val="002715F6"/>
    <w:rsid w:val="00272ADF"/>
    <w:rsid w:val="00275ABB"/>
    <w:rsid w:val="0028046C"/>
    <w:rsid w:val="00292EED"/>
    <w:rsid w:val="002958FE"/>
    <w:rsid w:val="0029777A"/>
    <w:rsid w:val="002A23FF"/>
    <w:rsid w:val="002A457D"/>
    <w:rsid w:val="002A49D4"/>
    <w:rsid w:val="002A7CE6"/>
    <w:rsid w:val="002C5B58"/>
    <w:rsid w:val="002C5B8A"/>
    <w:rsid w:val="002C6ABB"/>
    <w:rsid w:val="002D4EFB"/>
    <w:rsid w:val="002D7903"/>
    <w:rsid w:val="002E04C8"/>
    <w:rsid w:val="002F2408"/>
    <w:rsid w:val="002F47DB"/>
    <w:rsid w:val="002F587E"/>
    <w:rsid w:val="00300B35"/>
    <w:rsid w:val="003039BD"/>
    <w:rsid w:val="00304315"/>
    <w:rsid w:val="00317B01"/>
    <w:rsid w:val="00323EED"/>
    <w:rsid w:val="00326429"/>
    <w:rsid w:val="0033561F"/>
    <w:rsid w:val="00345050"/>
    <w:rsid w:val="0034603B"/>
    <w:rsid w:val="00353377"/>
    <w:rsid w:val="003540A6"/>
    <w:rsid w:val="003562E3"/>
    <w:rsid w:val="00363EF4"/>
    <w:rsid w:val="00366F05"/>
    <w:rsid w:val="00374686"/>
    <w:rsid w:val="00374A50"/>
    <w:rsid w:val="00383FF1"/>
    <w:rsid w:val="003871E6"/>
    <w:rsid w:val="003935FD"/>
    <w:rsid w:val="003A194D"/>
    <w:rsid w:val="003A276D"/>
    <w:rsid w:val="003A4E10"/>
    <w:rsid w:val="003A5F3D"/>
    <w:rsid w:val="003B75D1"/>
    <w:rsid w:val="003C4014"/>
    <w:rsid w:val="003D3C2B"/>
    <w:rsid w:val="003D468A"/>
    <w:rsid w:val="003E2817"/>
    <w:rsid w:val="003E5722"/>
    <w:rsid w:val="003F0E2E"/>
    <w:rsid w:val="003F418C"/>
    <w:rsid w:val="003F5B5F"/>
    <w:rsid w:val="003F60FC"/>
    <w:rsid w:val="00410B29"/>
    <w:rsid w:val="00422985"/>
    <w:rsid w:val="00423681"/>
    <w:rsid w:val="00427AE6"/>
    <w:rsid w:val="00430D07"/>
    <w:rsid w:val="004433AB"/>
    <w:rsid w:val="00466C3A"/>
    <w:rsid w:val="00471793"/>
    <w:rsid w:val="004817A5"/>
    <w:rsid w:val="004841FB"/>
    <w:rsid w:val="00487270"/>
    <w:rsid w:val="00497A17"/>
    <w:rsid w:val="00497BB5"/>
    <w:rsid w:val="004B292E"/>
    <w:rsid w:val="004B4581"/>
    <w:rsid w:val="004B7060"/>
    <w:rsid w:val="004C30F4"/>
    <w:rsid w:val="004D704D"/>
    <w:rsid w:val="004D7076"/>
    <w:rsid w:val="004E21C7"/>
    <w:rsid w:val="004F0E0E"/>
    <w:rsid w:val="004F11C1"/>
    <w:rsid w:val="00502B04"/>
    <w:rsid w:val="005032D5"/>
    <w:rsid w:val="00511E83"/>
    <w:rsid w:val="00511EBF"/>
    <w:rsid w:val="00540BE9"/>
    <w:rsid w:val="0054103E"/>
    <w:rsid w:val="005438F5"/>
    <w:rsid w:val="00544457"/>
    <w:rsid w:val="00546910"/>
    <w:rsid w:val="00547DF9"/>
    <w:rsid w:val="0055093F"/>
    <w:rsid w:val="00552DC8"/>
    <w:rsid w:val="00553D5C"/>
    <w:rsid w:val="005542B0"/>
    <w:rsid w:val="00561F0E"/>
    <w:rsid w:val="005627F7"/>
    <w:rsid w:val="00581116"/>
    <w:rsid w:val="00587BEA"/>
    <w:rsid w:val="005A2D0D"/>
    <w:rsid w:val="005A5C59"/>
    <w:rsid w:val="005C0205"/>
    <w:rsid w:val="005C0A9D"/>
    <w:rsid w:val="005E0320"/>
    <w:rsid w:val="005E7469"/>
    <w:rsid w:val="005F36E4"/>
    <w:rsid w:val="005F68BC"/>
    <w:rsid w:val="00633F6D"/>
    <w:rsid w:val="00636295"/>
    <w:rsid w:val="00645172"/>
    <w:rsid w:val="00654317"/>
    <w:rsid w:val="0065600A"/>
    <w:rsid w:val="00665583"/>
    <w:rsid w:val="006735C2"/>
    <w:rsid w:val="00682473"/>
    <w:rsid w:val="00682A07"/>
    <w:rsid w:val="00685B21"/>
    <w:rsid w:val="00691933"/>
    <w:rsid w:val="006964B4"/>
    <w:rsid w:val="00697497"/>
    <w:rsid w:val="006B2303"/>
    <w:rsid w:val="006C03C8"/>
    <w:rsid w:val="006C13C2"/>
    <w:rsid w:val="006C2996"/>
    <w:rsid w:val="006C3770"/>
    <w:rsid w:val="006D00FA"/>
    <w:rsid w:val="006D43D2"/>
    <w:rsid w:val="006E2C33"/>
    <w:rsid w:val="006E39F2"/>
    <w:rsid w:val="006E3D45"/>
    <w:rsid w:val="006E5DC7"/>
    <w:rsid w:val="006F4846"/>
    <w:rsid w:val="006F4CDE"/>
    <w:rsid w:val="00701240"/>
    <w:rsid w:val="00713503"/>
    <w:rsid w:val="00714256"/>
    <w:rsid w:val="00716392"/>
    <w:rsid w:val="0071715C"/>
    <w:rsid w:val="00724935"/>
    <w:rsid w:val="0072670F"/>
    <w:rsid w:val="007445FF"/>
    <w:rsid w:val="007456E7"/>
    <w:rsid w:val="00751D10"/>
    <w:rsid w:val="007556E5"/>
    <w:rsid w:val="00761DDD"/>
    <w:rsid w:val="00770A83"/>
    <w:rsid w:val="00770D56"/>
    <w:rsid w:val="00772970"/>
    <w:rsid w:val="00772B32"/>
    <w:rsid w:val="00773F47"/>
    <w:rsid w:val="00776F55"/>
    <w:rsid w:val="00785861"/>
    <w:rsid w:val="00795072"/>
    <w:rsid w:val="007B530B"/>
    <w:rsid w:val="007C23DF"/>
    <w:rsid w:val="007C576E"/>
    <w:rsid w:val="007C7380"/>
    <w:rsid w:val="007F0D43"/>
    <w:rsid w:val="00800F7B"/>
    <w:rsid w:val="00801C86"/>
    <w:rsid w:val="008046C6"/>
    <w:rsid w:val="00810613"/>
    <w:rsid w:val="008163FD"/>
    <w:rsid w:val="00825946"/>
    <w:rsid w:val="00826B65"/>
    <w:rsid w:val="00831AA9"/>
    <w:rsid w:val="00837023"/>
    <w:rsid w:val="00842A26"/>
    <w:rsid w:val="00843499"/>
    <w:rsid w:val="00844C61"/>
    <w:rsid w:val="00845079"/>
    <w:rsid w:val="00853542"/>
    <w:rsid w:val="00854F8A"/>
    <w:rsid w:val="008552BF"/>
    <w:rsid w:val="00856F68"/>
    <w:rsid w:val="00864E23"/>
    <w:rsid w:val="00867130"/>
    <w:rsid w:val="00870251"/>
    <w:rsid w:val="00890233"/>
    <w:rsid w:val="00894D18"/>
    <w:rsid w:val="008A32E6"/>
    <w:rsid w:val="008A3DC7"/>
    <w:rsid w:val="008A4F2F"/>
    <w:rsid w:val="008C0658"/>
    <w:rsid w:val="008C1257"/>
    <w:rsid w:val="008C175D"/>
    <w:rsid w:val="008C1902"/>
    <w:rsid w:val="008C1E64"/>
    <w:rsid w:val="008D0F99"/>
    <w:rsid w:val="008F141C"/>
    <w:rsid w:val="008F5919"/>
    <w:rsid w:val="00902639"/>
    <w:rsid w:val="009133EB"/>
    <w:rsid w:val="00915A9A"/>
    <w:rsid w:val="0092314E"/>
    <w:rsid w:val="00926851"/>
    <w:rsid w:val="009278C6"/>
    <w:rsid w:val="00934FB3"/>
    <w:rsid w:val="00937535"/>
    <w:rsid w:val="00941D3D"/>
    <w:rsid w:val="0094478D"/>
    <w:rsid w:val="00954424"/>
    <w:rsid w:val="009659E4"/>
    <w:rsid w:val="00977C0A"/>
    <w:rsid w:val="009B6AAE"/>
    <w:rsid w:val="009C14E0"/>
    <w:rsid w:val="009C48C6"/>
    <w:rsid w:val="009E123E"/>
    <w:rsid w:val="009E304A"/>
    <w:rsid w:val="009E71BA"/>
    <w:rsid w:val="00A04B0A"/>
    <w:rsid w:val="00A0614E"/>
    <w:rsid w:val="00A15015"/>
    <w:rsid w:val="00A17AD9"/>
    <w:rsid w:val="00A25067"/>
    <w:rsid w:val="00A47A9F"/>
    <w:rsid w:val="00A70640"/>
    <w:rsid w:val="00A70747"/>
    <w:rsid w:val="00A72679"/>
    <w:rsid w:val="00A73DA4"/>
    <w:rsid w:val="00A768D6"/>
    <w:rsid w:val="00A777C8"/>
    <w:rsid w:val="00A81F2C"/>
    <w:rsid w:val="00A94A1C"/>
    <w:rsid w:val="00AA2170"/>
    <w:rsid w:val="00AA586A"/>
    <w:rsid w:val="00AB262D"/>
    <w:rsid w:val="00AB6ED5"/>
    <w:rsid w:val="00AC15D9"/>
    <w:rsid w:val="00AC5C16"/>
    <w:rsid w:val="00AC5FE6"/>
    <w:rsid w:val="00AC7245"/>
    <w:rsid w:val="00AE189C"/>
    <w:rsid w:val="00AE26BE"/>
    <w:rsid w:val="00AE2CFC"/>
    <w:rsid w:val="00AE4629"/>
    <w:rsid w:val="00B16646"/>
    <w:rsid w:val="00B176F9"/>
    <w:rsid w:val="00B22784"/>
    <w:rsid w:val="00B2428E"/>
    <w:rsid w:val="00B32FFB"/>
    <w:rsid w:val="00B367F7"/>
    <w:rsid w:val="00B40740"/>
    <w:rsid w:val="00B43478"/>
    <w:rsid w:val="00B439CD"/>
    <w:rsid w:val="00B5556B"/>
    <w:rsid w:val="00B60A1B"/>
    <w:rsid w:val="00B6277C"/>
    <w:rsid w:val="00B77A02"/>
    <w:rsid w:val="00B87917"/>
    <w:rsid w:val="00B87E74"/>
    <w:rsid w:val="00B933B3"/>
    <w:rsid w:val="00BA3699"/>
    <w:rsid w:val="00BB2444"/>
    <w:rsid w:val="00BB4179"/>
    <w:rsid w:val="00BD17D6"/>
    <w:rsid w:val="00BD19EB"/>
    <w:rsid w:val="00BE7381"/>
    <w:rsid w:val="00BF2C65"/>
    <w:rsid w:val="00BF2C6F"/>
    <w:rsid w:val="00C0326E"/>
    <w:rsid w:val="00C114E6"/>
    <w:rsid w:val="00C1749D"/>
    <w:rsid w:val="00C304B1"/>
    <w:rsid w:val="00C33486"/>
    <w:rsid w:val="00C3613B"/>
    <w:rsid w:val="00C572BC"/>
    <w:rsid w:val="00C6347B"/>
    <w:rsid w:val="00C70F66"/>
    <w:rsid w:val="00C714B6"/>
    <w:rsid w:val="00C75EFF"/>
    <w:rsid w:val="00C76976"/>
    <w:rsid w:val="00C83D3E"/>
    <w:rsid w:val="00C8483B"/>
    <w:rsid w:val="00C85807"/>
    <w:rsid w:val="00C8735A"/>
    <w:rsid w:val="00C9659D"/>
    <w:rsid w:val="00C97F20"/>
    <w:rsid w:val="00CA60B9"/>
    <w:rsid w:val="00CB2678"/>
    <w:rsid w:val="00CB31FC"/>
    <w:rsid w:val="00CB4111"/>
    <w:rsid w:val="00CC2CFA"/>
    <w:rsid w:val="00CD19CC"/>
    <w:rsid w:val="00CD2978"/>
    <w:rsid w:val="00CF13BB"/>
    <w:rsid w:val="00CF1CE7"/>
    <w:rsid w:val="00CF2530"/>
    <w:rsid w:val="00CF35BF"/>
    <w:rsid w:val="00CF6619"/>
    <w:rsid w:val="00D00023"/>
    <w:rsid w:val="00D00FAE"/>
    <w:rsid w:val="00D10E1F"/>
    <w:rsid w:val="00D22094"/>
    <w:rsid w:val="00D2391B"/>
    <w:rsid w:val="00D319C9"/>
    <w:rsid w:val="00D3794D"/>
    <w:rsid w:val="00D434D6"/>
    <w:rsid w:val="00D50FCF"/>
    <w:rsid w:val="00D537F7"/>
    <w:rsid w:val="00D7319C"/>
    <w:rsid w:val="00D80971"/>
    <w:rsid w:val="00D85D37"/>
    <w:rsid w:val="00D865C9"/>
    <w:rsid w:val="00D866DF"/>
    <w:rsid w:val="00D8775E"/>
    <w:rsid w:val="00D933C7"/>
    <w:rsid w:val="00D93C31"/>
    <w:rsid w:val="00DB7CB0"/>
    <w:rsid w:val="00DC0646"/>
    <w:rsid w:val="00DC50D4"/>
    <w:rsid w:val="00DE446D"/>
    <w:rsid w:val="00DE499F"/>
    <w:rsid w:val="00DE6FAF"/>
    <w:rsid w:val="00E00354"/>
    <w:rsid w:val="00E041FD"/>
    <w:rsid w:val="00E04449"/>
    <w:rsid w:val="00E33656"/>
    <w:rsid w:val="00E34635"/>
    <w:rsid w:val="00E376BD"/>
    <w:rsid w:val="00E37889"/>
    <w:rsid w:val="00E458B8"/>
    <w:rsid w:val="00E4755A"/>
    <w:rsid w:val="00E52799"/>
    <w:rsid w:val="00E5793A"/>
    <w:rsid w:val="00E57A6E"/>
    <w:rsid w:val="00E72B50"/>
    <w:rsid w:val="00E72B51"/>
    <w:rsid w:val="00E740EA"/>
    <w:rsid w:val="00E76A44"/>
    <w:rsid w:val="00EA17D1"/>
    <w:rsid w:val="00EA573B"/>
    <w:rsid w:val="00EC0618"/>
    <w:rsid w:val="00EE08B7"/>
    <w:rsid w:val="00EE410D"/>
    <w:rsid w:val="00F04477"/>
    <w:rsid w:val="00F04D0E"/>
    <w:rsid w:val="00F11804"/>
    <w:rsid w:val="00F150B1"/>
    <w:rsid w:val="00F16756"/>
    <w:rsid w:val="00F34CDA"/>
    <w:rsid w:val="00F4138C"/>
    <w:rsid w:val="00F439A1"/>
    <w:rsid w:val="00F54C43"/>
    <w:rsid w:val="00F6771E"/>
    <w:rsid w:val="00F72857"/>
    <w:rsid w:val="00F7359A"/>
    <w:rsid w:val="00F74932"/>
    <w:rsid w:val="00F75660"/>
    <w:rsid w:val="00FA37D5"/>
    <w:rsid w:val="00FB6A32"/>
    <w:rsid w:val="00FC5C23"/>
    <w:rsid w:val="00FC686E"/>
    <w:rsid w:val="00FD4C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4BF2B6"/>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477"/>
    <w:pPr>
      <w:spacing w:after="240"/>
    </w:pPr>
    <w:rPr>
      <w:rFonts w:ascii="Arial" w:eastAsia="Times New Roman" w:hAnsi="Arial"/>
      <w:sz w:val="24"/>
      <w:lang w:val="en-US" w:eastAsia="en-US"/>
    </w:rPr>
  </w:style>
  <w:style w:type="paragraph" w:styleId="Heading1">
    <w:name w:val="heading 1"/>
    <w:basedOn w:val="Normal"/>
    <w:next w:val="Normal"/>
    <w:link w:val="Heading1Char"/>
    <w:autoRedefine/>
    <w:uiPriority w:val="9"/>
    <w:qFormat/>
    <w:rsid w:val="002958FE"/>
    <w:pPr>
      <w:keepNext/>
      <w:keepLines/>
      <w:spacing w:before="360"/>
      <w:outlineLvl w:val="0"/>
    </w:pPr>
    <w:rPr>
      <w:rFonts w:eastAsia="MS Gothic" w:cs="Calibri"/>
      <w:b/>
      <w:bCs/>
      <w:color w:val="000000"/>
      <w:sz w:val="32"/>
      <w:szCs w:val="28"/>
    </w:rPr>
  </w:style>
  <w:style w:type="paragraph" w:styleId="Heading2">
    <w:name w:val="heading 2"/>
    <w:next w:val="Normal"/>
    <w:link w:val="Heading2Char"/>
    <w:autoRedefine/>
    <w:qFormat/>
    <w:rsid w:val="00F04477"/>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360" w:after="240"/>
      <w:outlineLvl w:val="1"/>
    </w:pPr>
    <w:rPr>
      <w:rFonts w:ascii="Arial" w:eastAsia="Arial Narrow" w:hAnsi="Arial" w:cs="Arial"/>
      <w:b/>
      <w:bCs/>
      <w:sz w:val="28"/>
      <w:szCs w:val="24"/>
      <w:lang w:val="en-GB" w:eastAsia="en-US"/>
    </w:rPr>
  </w:style>
  <w:style w:type="paragraph" w:styleId="Heading3">
    <w:name w:val="heading 3"/>
    <w:basedOn w:val="Normal"/>
    <w:next w:val="Normal"/>
    <w:link w:val="Heading3Char"/>
    <w:autoRedefine/>
    <w:uiPriority w:val="9"/>
    <w:unhideWhenUsed/>
    <w:qFormat/>
    <w:rsid w:val="00581116"/>
    <w:pPr>
      <w:keepNext/>
      <w:keepLines/>
      <w:spacing w:before="200"/>
      <w:outlineLvl w:val="2"/>
    </w:pPr>
    <w:rPr>
      <w:rFonts w:eastAsia="MS Gothic" w:cs="Arial"/>
      <w:bCs/>
      <w:color w:val="000000"/>
      <w:u w:val="single"/>
    </w:rPr>
  </w:style>
  <w:style w:type="paragraph" w:styleId="Heading4">
    <w:name w:val="heading 4"/>
    <w:basedOn w:val="Normal"/>
    <w:next w:val="Normal"/>
    <w:link w:val="Heading4Char"/>
    <w:uiPriority w:val="9"/>
    <w:unhideWhenUsed/>
    <w:qFormat/>
    <w:rsid w:val="00471793"/>
    <w:pPr>
      <w:keepNext/>
      <w:spacing w:before="240" w:after="60"/>
      <w:ind w:left="720"/>
      <w:outlineLvl w:val="3"/>
    </w:pPr>
    <w:rPr>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04477"/>
    <w:rPr>
      <w:rFonts w:ascii="Arial" w:eastAsia="Arial Narrow" w:hAnsi="Arial" w:cs="Arial"/>
      <w:b/>
      <w:bCs/>
      <w:sz w:val="28"/>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2958FE"/>
    <w:pPr>
      <w:spacing w:after="200" w:line="276" w:lineRule="auto"/>
      <w:ind w:left="720"/>
      <w:contextualSpacing/>
    </w:pPr>
    <w:rPr>
      <w:rFonts w:eastAsia="Calibri"/>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2"/>
      </w:numPr>
      <w:contextualSpacing/>
      <w:jc w:val="center"/>
      <w:outlineLvl w:val="1"/>
    </w:pPr>
  </w:style>
  <w:style w:type="character" w:customStyle="1" w:styleId="Heading3Char">
    <w:name w:val="Heading 3 Char"/>
    <w:link w:val="Heading3"/>
    <w:uiPriority w:val="9"/>
    <w:rsid w:val="00581116"/>
    <w:rPr>
      <w:rFonts w:ascii="Arial" w:eastAsia="MS Gothic" w:hAnsi="Arial" w:cs="Arial"/>
      <w:bCs/>
      <w:color w:val="000000"/>
      <w:sz w:val="24"/>
      <w:u w:val="single"/>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sz w:val="22"/>
      <w:szCs w:val="22"/>
    </w:rPr>
  </w:style>
  <w:style w:type="paragraph" w:styleId="TOC4">
    <w:name w:val="toc 4"/>
    <w:basedOn w:val="Normal"/>
    <w:next w:val="Normal"/>
    <w:autoRedefine/>
    <w:uiPriority w:val="39"/>
    <w:unhideWhenUsed/>
    <w:rsid w:val="008C0658"/>
    <w:pPr>
      <w:ind w:left="720"/>
    </w:pPr>
    <w:rPr>
      <w:rFonts w:ascii="Cambria" w:hAnsi="Cambria"/>
      <w:b/>
      <w:sz w:val="20"/>
    </w:rPr>
  </w:style>
  <w:style w:type="paragraph" w:styleId="TOC5">
    <w:name w:val="toc 5"/>
    <w:basedOn w:val="Normal"/>
    <w:next w:val="Normal"/>
    <w:autoRedefine/>
    <w:uiPriority w:val="39"/>
    <w:unhideWhenUsed/>
    <w:rsid w:val="008C0658"/>
    <w:pPr>
      <w:ind w:left="960"/>
    </w:pPr>
    <w:rPr>
      <w:rFonts w:ascii="Cambria" w:hAnsi="Cambria"/>
      <w:b/>
      <w:sz w:val="20"/>
    </w:rPr>
  </w:style>
  <w:style w:type="paragraph" w:styleId="TOC6">
    <w:name w:val="toc 6"/>
    <w:basedOn w:val="Normal"/>
    <w:next w:val="Normal"/>
    <w:autoRedefine/>
    <w:uiPriority w:val="39"/>
    <w:unhideWhenUsed/>
    <w:rsid w:val="008C0658"/>
    <w:pPr>
      <w:ind w:left="1200"/>
    </w:pPr>
    <w:rPr>
      <w:rFonts w:ascii="Cambria" w:hAnsi="Cambria"/>
      <w:b/>
      <w:sz w:val="20"/>
    </w:rPr>
  </w:style>
  <w:style w:type="paragraph" w:styleId="TOC7">
    <w:name w:val="toc 7"/>
    <w:basedOn w:val="Normal"/>
    <w:next w:val="Normal"/>
    <w:autoRedefine/>
    <w:uiPriority w:val="39"/>
    <w:unhideWhenUsed/>
    <w:rsid w:val="008C0658"/>
    <w:pPr>
      <w:ind w:left="1440"/>
    </w:pPr>
    <w:rPr>
      <w:rFonts w:ascii="Cambria" w:hAnsi="Cambria"/>
      <w:b/>
      <w:sz w:val="20"/>
    </w:rPr>
  </w:style>
  <w:style w:type="paragraph" w:styleId="TOC8">
    <w:name w:val="toc 8"/>
    <w:basedOn w:val="Normal"/>
    <w:next w:val="Normal"/>
    <w:autoRedefine/>
    <w:uiPriority w:val="39"/>
    <w:unhideWhenUsed/>
    <w:rsid w:val="008C0658"/>
    <w:pPr>
      <w:ind w:left="1680"/>
    </w:pPr>
    <w:rPr>
      <w:rFonts w:ascii="Cambria" w:hAnsi="Cambria"/>
      <w:b/>
      <w:sz w:val="20"/>
    </w:rPr>
  </w:style>
  <w:style w:type="paragraph" w:styleId="TOC9">
    <w:name w:val="toc 9"/>
    <w:basedOn w:val="Normal"/>
    <w:next w:val="Normal"/>
    <w:autoRedefine/>
    <w:uiPriority w:val="39"/>
    <w:unhideWhenUsed/>
    <w:rsid w:val="008C0658"/>
    <w:pPr>
      <w:ind w:left="1920"/>
    </w:pPr>
    <w:rPr>
      <w:rFonts w:ascii="Cambria" w:hAnsi="Cambria"/>
      <w:b/>
      <w:sz w:val="20"/>
    </w:rPr>
  </w:style>
  <w:style w:type="character" w:customStyle="1" w:styleId="Heading1Char">
    <w:name w:val="Heading 1 Char"/>
    <w:link w:val="Heading1"/>
    <w:uiPriority w:val="9"/>
    <w:rsid w:val="002958FE"/>
    <w:rPr>
      <w:rFonts w:ascii="Arial" w:eastAsia="MS Gothic" w:hAnsi="Arial" w:cs="Calibri"/>
      <w:b/>
      <w:bCs/>
      <w:color w:val="000000"/>
      <w:sz w:val="32"/>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unhideWhenUsed/>
    <w:rsid w:val="005F36E4"/>
    <w:rPr>
      <w:sz w:val="20"/>
    </w:rPr>
  </w:style>
  <w:style w:type="character" w:customStyle="1" w:styleId="CommentTextChar">
    <w:name w:val="Comment Text Char"/>
    <w:link w:val="CommentText"/>
    <w:uiPriority w:val="99"/>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paragraph" w:styleId="BodyText">
    <w:name w:val="Body Text"/>
    <w:basedOn w:val="Normal"/>
    <w:link w:val="BodyTextChar"/>
    <w:uiPriority w:val="99"/>
    <w:unhideWhenUsed/>
    <w:rsid w:val="003B75D1"/>
    <w:pPr>
      <w:spacing w:after="120"/>
    </w:pPr>
  </w:style>
  <w:style w:type="character" w:customStyle="1" w:styleId="BodyTextChar">
    <w:name w:val="Body Text Char"/>
    <w:basedOn w:val="DefaultParagraphFont"/>
    <w:link w:val="BodyText"/>
    <w:uiPriority w:val="99"/>
    <w:rsid w:val="003B75D1"/>
    <w:rPr>
      <w:rFonts w:ascii="Arial" w:eastAsia="Times New Roman" w:hAnsi="Arial"/>
      <w:sz w:val="24"/>
      <w:lang w:val="en-US" w:eastAsia="en-US"/>
    </w:rPr>
  </w:style>
  <w:style w:type="character" w:styleId="UnresolvedMention">
    <w:name w:val="Unresolved Mention"/>
    <w:basedOn w:val="DefaultParagraphFont"/>
    <w:uiPriority w:val="99"/>
    <w:semiHidden/>
    <w:unhideWhenUsed/>
    <w:rsid w:val="006E2C33"/>
    <w:rPr>
      <w:color w:val="605E5C"/>
      <w:shd w:val="clear" w:color="auto" w:fill="E1DFDD"/>
    </w:rPr>
  </w:style>
  <w:style w:type="paragraph" w:styleId="Revision">
    <w:name w:val="Revision"/>
    <w:hidden/>
    <w:uiPriority w:val="71"/>
    <w:semiHidden/>
    <w:rsid w:val="002F587E"/>
    <w:rPr>
      <w:rFonts w:ascii="Arial" w:eastAsia="Times New Roman" w:hAnsi="Arial"/>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1049731520984531" TargetMode="External"/><Relationship Id="rId18" Type="http://schemas.openxmlformats.org/officeDocument/2006/relationships/hyperlink" Target="https://doi.org/10.1002/cjas.1439" TargetMode="External"/><Relationship Id="rId26" Type="http://schemas.openxmlformats.org/officeDocument/2006/relationships/hyperlink" Target="https://doi.org/10.1093/bjsw/bcm048" TargetMode="External"/><Relationship Id="rId3" Type="http://schemas.openxmlformats.org/officeDocument/2006/relationships/styles" Target="styles.xml"/><Relationship Id="rId21" Type="http://schemas.openxmlformats.org/officeDocument/2006/relationships/hyperlink" Target="https://doi.org/10.14738/assrj.91.1155"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ink.gale.com/apps/doc/A274026001/AONE?u=ocul_mcmaster&amp;sid=bookmark-AONE&amp;xid=27469b89" TargetMode="External"/><Relationship Id="rId17" Type="http://schemas.openxmlformats.org/officeDocument/2006/relationships/hyperlink" Target="https://doi.org/10.18357/tar111202019460" TargetMode="External"/><Relationship Id="rId25" Type="http://schemas.openxmlformats.org/officeDocument/2006/relationships/hyperlink" Target="https://doi.org/10.1093/pch/pxz066.085"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37/trm0000104" TargetMode="External"/><Relationship Id="rId20" Type="http://schemas.openxmlformats.org/officeDocument/2006/relationships/hyperlink" Target="https://www.ionasky.ca/" TargetMode="External"/><Relationship Id="rId29" Type="http://schemas.openxmlformats.org/officeDocument/2006/relationships/hyperlink" Target="https://doi.org/10.5751/ES-08450-2102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s@mcmaster.ca" TargetMode="External"/><Relationship Id="rId24" Type="http://schemas.openxmlformats.org/officeDocument/2006/relationships/hyperlink" Target="https://doi.org/10.1057/978-1-137-56766-6"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rfwcconsulting.com/keishia-facey" TargetMode="External"/><Relationship Id="rId23" Type="http://schemas.openxmlformats.org/officeDocument/2006/relationships/hyperlink" Target="https://doi.org/10.3138/9781442678385" TargetMode="External"/><Relationship Id="rId28" Type="http://schemas.openxmlformats.org/officeDocument/2006/relationships/hyperlink" Target="https://doi.org/10.1016/j.eclinm.2021.100812" TargetMode="External"/><Relationship Id="rId10" Type="http://schemas.openxmlformats.org/officeDocument/2006/relationships/hyperlink" Target="https://www.mcmaster.ca/policy/Students-AcademicStudies/AcademicIntegrity.pdf" TargetMode="External"/><Relationship Id="rId19" Type="http://schemas.openxmlformats.org/officeDocument/2006/relationships/hyperlink" Target="https://doi.org/10.5175/JSWE.2009.200600093"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upport.avenue@cll.mcmaster.ca" TargetMode="External"/><Relationship Id="rId14" Type="http://schemas.openxmlformats.org/officeDocument/2006/relationships/hyperlink" Target="https://doi.org/10.1080/10538720.2020.1728459" TargetMode="External"/><Relationship Id="rId22" Type="http://schemas.openxmlformats.org/officeDocument/2006/relationships/hyperlink" Target="https://doi.org/10.1097/FCH.0000000000000345" TargetMode="External"/><Relationship Id="rId27" Type="http://schemas.openxmlformats.org/officeDocument/2006/relationships/hyperlink" Target="https://doi.org/10.1080/15228835.2020.1796892" TargetMode="External"/><Relationship Id="rId30" Type="http://schemas.openxmlformats.org/officeDocument/2006/relationships/hyperlink" Target="https://doi.org/10.1080/1550428X.2020.1724133" TargetMode="Externa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B4B3B-7D0F-4356-9751-46FD348E2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34</TotalTime>
  <Pages>19</Pages>
  <Words>5465</Words>
  <Characters>31156</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36548</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Schumacher, Danielle</cp:lastModifiedBy>
  <cp:revision>8</cp:revision>
  <cp:lastPrinted>2017-04-06T15:15:00Z</cp:lastPrinted>
  <dcterms:created xsi:type="dcterms:W3CDTF">2022-12-21T18:32:00Z</dcterms:created>
  <dcterms:modified xsi:type="dcterms:W3CDTF">2022-12-22T13:59:00Z</dcterms:modified>
  <cp:category/>
</cp:coreProperties>
</file>